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8</w:t>
      </w:r>
      <w:r w:rsidR="004F7993">
        <w:rPr>
          <w:lang w:val="en-US"/>
        </w:rPr>
        <w:t>2</w:t>
      </w:r>
      <w:r w:rsidR="00A94494">
        <w:rPr>
          <w:lang w:val="en-US"/>
        </w:rPr>
        <w:t>bis</w:t>
      </w:r>
      <w:r w:rsidRPr="00F6302A">
        <w:rPr>
          <w:lang w:val="en-US"/>
        </w:rPr>
        <w:tab/>
      </w:r>
      <w:r>
        <w:rPr>
          <w:sz w:val="32"/>
          <w:szCs w:val="32"/>
          <w:lang w:val="en-US"/>
        </w:rPr>
        <w:t>R4</w:t>
      </w:r>
      <w:r w:rsidRPr="00F6302A">
        <w:rPr>
          <w:sz w:val="32"/>
          <w:szCs w:val="32"/>
          <w:lang w:val="en-US"/>
        </w:rPr>
        <w:t>-</w:t>
      </w:r>
      <w:r w:rsidR="00A660C9">
        <w:rPr>
          <w:sz w:val="32"/>
          <w:szCs w:val="32"/>
          <w:lang w:val="en-US"/>
        </w:rPr>
        <w:t>1703850</w:t>
      </w:r>
    </w:p>
    <w:p w:rsidR="00B46E62" w:rsidRPr="00F6302A" w:rsidRDefault="00A94494" w:rsidP="00B46E62">
      <w:pPr>
        <w:pStyle w:val="3GPPHeader"/>
        <w:rPr>
          <w:lang w:val="en-US"/>
        </w:rPr>
      </w:pPr>
      <w:r>
        <w:rPr>
          <w:lang w:val="en-US"/>
        </w:rPr>
        <w:t xml:space="preserve">Spokane, Washington, USA, </w:t>
      </w:r>
      <w:r w:rsidR="004F7993">
        <w:rPr>
          <w:lang w:val="en-US"/>
        </w:rPr>
        <w:t>3</w:t>
      </w:r>
      <w:r>
        <w:rPr>
          <w:lang w:val="en-US"/>
        </w:rPr>
        <w:t xml:space="preserve">rd </w:t>
      </w:r>
      <w:r w:rsidR="00B46E62" w:rsidRPr="009106CA">
        <w:rPr>
          <w:lang w:val="en-US"/>
        </w:rPr>
        <w:t xml:space="preserve">– </w:t>
      </w:r>
      <w:r w:rsidR="004F7993">
        <w:rPr>
          <w:lang w:val="en-US"/>
        </w:rPr>
        <w:t>7</w:t>
      </w:r>
      <w:r w:rsidR="00B46E62" w:rsidRPr="009106CA">
        <w:rPr>
          <w:lang w:val="en-US"/>
        </w:rPr>
        <w:t xml:space="preserve">th </w:t>
      </w:r>
      <w:r>
        <w:rPr>
          <w:lang w:val="en-US"/>
        </w:rPr>
        <w:t>April</w:t>
      </w:r>
      <w:r w:rsidRPr="009106CA">
        <w:rPr>
          <w:lang w:val="en-US"/>
        </w:rPr>
        <w:t xml:space="preserve"> </w:t>
      </w:r>
      <w:r w:rsidR="00B46E62" w:rsidRPr="009106CA">
        <w:rPr>
          <w:lang w:val="en-US"/>
        </w:rPr>
        <w:t>201</w:t>
      </w:r>
      <w:r w:rsidR="00B46E62">
        <w:rPr>
          <w:lang w:val="en-US"/>
        </w:rPr>
        <w:t>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2C08F2">
        <w:rPr>
          <w:sz w:val="22"/>
          <w:szCs w:val="22"/>
          <w:lang w:val="en-US"/>
        </w:rPr>
        <w:t xml:space="preserve">UE </w:t>
      </w:r>
      <w:r w:rsidR="002C08F2" w:rsidRPr="002C08F2">
        <w:rPr>
          <w:sz w:val="22"/>
          <w:szCs w:val="22"/>
          <w:lang w:val="en-US"/>
        </w:rPr>
        <w:t>transient period for NR</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3338DB" w:rsidRPr="00926275">
        <w:rPr>
          <w:sz w:val="22"/>
          <w:szCs w:val="22"/>
          <w:highlight w:val="yellow"/>
          <w:lang w:val="en-US"/>
        </w:rPr>
        <w:t>10.4.1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C356E0">
        <w:rPr>
          <w:sz w:val="22"/>
          <w:szCs w:val="22"/>
          <w:lang w:val="en-US"/>
        </w:rPr>
        <w:t>Discussion</w:t>
      </w:r>
    </w:p>
    <w:p w:rsidR="00E90E49" w:rsidRDefault="00E90E49" w:rsidP="00E90E49">
      <w:pPr>
        <w:pStyle w:val="Heading1"/>
        <w:rPr>
          <w:lang w:val="en-US"/>
        </w:rPr>
      </w:pPr>
      <w:r w:rsidRPr="00F6302A">
        <w:rPr>
          <w:lang w:val="en-US"/>
        </w:rPr>
        <w:t>Introduction</w:t>
      </w:r>
    </w:p>
    <w:p w:rsidR="00D437D0" w:rsidRDefault="00050525" w:rsidP="00A94494">
      <w:pPr>
        <w:rPr>
          <w:lang w:val="en-US"/>
        </w:rPr>
      </w:pPr>
      <w:r>
        <w:rPr>
          <w:lang w:val="en-US"/>
        </w:rPr>
        <w:t>In RAN#74, a new WI is approved for Rel-15 NR work</w:t>
      </w:r>
      <w:r w:rsidR="00D1660D">
        <w:rPr>
          <w:lang w:val="en-US"/>
        </w:rPr>
        <w:t xml:space="preserve"> [1]</w:t>
      </w:r>
      <w:r>
        <w:rPr>
          <w:lang w:val="en-US"/>
        </w:rPr>
        <w:t xml:space="preserve">. </w:t>
      </w:r>
      <w:r w:rsidR="00B43E6D">
        <w:rPr>
          <w:lang w:val="en-US"/>
        </w:rPr>
        <w:t xml:space="preserve">This WI will cover all requirements related to </w:t>
      </w:r>
      <w:r w:rsidR="00D437D0">
        <w:rPr>
          <w:lang w:val="en-US"/>
        </w:rPr>
        <w:t xml:space="preserve">UE and BS core requirements for NR. </w:t>
      </w:r>
    </w:p>
    <w:p w:rsidR="00A94494" w:rsidRDefault="00D437D0" w:rsidP="00A94494">
      <w:pPr>
        <w:rPr>
          <w:lang w:val="en-US"/>
        </w:rPr>
      </w:pPr>
      <w:r>
        <w:rPr>
          <w:lang w:val="en-US"/>
        </w:rPr>
        <w:t xml:space="preserve">One of the important issues related to core UE requirement is transient period for UE in mmWave spectrum. </w:t>
      </w:r>
      <w:r w:rsidR="005910C7">
        <w:rPr>
          <w:lang w:val="en-US"/>
        </w:rPr>
        <w:t xml:space="preserve">In this contribution, we provide </w:t>
      </w:r>
      <w:r>
        <w:rPr>
          <w:lang w:val="en-US"/>
        </w:rPr>
        <w:t xml:space="preserve">our </w:t>
      </w:r>
      <w:r w:rsidR="00C356E0">
        <w:rPr>
          <w:lang w:val="en-US"/>
        </w:rPr>
        <w:t>understand</w:t>
      </w:r>
      <w:bookmarkStart w:id="0" w:name="_GoBack"/>
      <w:bookmarkEnd w:id="0"/>
      <w:r w:rsidR="00C356E0">
        <w:rPr>
          <w:lang w:val="en-US"/>
        </w:rPr>
        <w:t xml:space="preserve">ing </w:t>
      </w:r>
      <w:r w:rsidR="005910C7">
        <w:rPr>
          <w:lang w:val="en-US"/>
        </w:rPr>
        <w:t xml:space="preserve">on </w:t>
      </w:r>
      <w:r>
        <w:rPr>
          <w:lang w:val="en-US"/>
        </w:rPr>
        <w:t xml:space="preserve">potential UE transient time requirement for </w:t>
      </w:r>
      <w:r w:rsidR="005910C7">
        <w:rPr>
          <w:lang w:val="en-US"/>
        </w:rPr>
        <w:t>mmWave</w:t>
      </w:r>
      <w:r w:rsidR="00A660C9">
        <w:rPr>
          <w:lang w:val="en-US"/>
        </w:rPr>
        <w:t xml:space="preserve"> </w:t>
      </w:r>
      <w:r>
        <w:rPr>
          <w:lang w:val="en-US"/>
        </w:rPr>
        <w:t>spectrum</w:t>
      </w:r>
      <w:r w:rsidR="005910C7">
        <w:rPr>
          <w:lang w:val="en-US"/>
        </w:rPr>
        <w:t xml:space="preserve">.  </w:t>
      </w:r>
    </w:p>
    <w:p w:rsidR="00A94494" w:rsidRPr="00A94494" w:rsidRDefault="00A94494" w:rsidP="00A94494">
      <w:pPr>
        <w:rPr>
          <w:lang w:val="en-US"/>
        </w:rPr>
      </w:pPr>
    </w:p>
    <w:p w:rsidR="006F2595" w:rsidRDefault="006F2595" w:rsidP="00703346">
      <w:pPr>
        <w:pStyle w:val="Heading1"/>
        <w:rPr>
          <w:lang w:val="en-US"/>
        </w:rPr>
      </w:pPr>
      <w:r>
        <w:rPr>
          <w:lang w:val="en-US"/>
        </w:rPr>
        <w:t>RAN1 LS on transient time for NR</w:t>
      </w:r>
    </w:p>
    <w:p w:rsidR="006F2595" w:rsidRDefault="006F2595" w:rsidP="001B0226">
      <w:pPr>
        <w:rPr>
          <w:lang w:val="en-US"/>
        </w:rPr>
      </w:pPr>
      <w:r>
        <w:rPr>
          <w:lang w:val="en-US"/>
        </w:rPr>
        <w:t>RAN1 has sent an LS [4] to RAN4, where two issues have been mentioned, where RAN4 input could be useful.</w:t>
      </w:r>
    </w:p>
    <w:p w:rsidR="006F2595" w:rsidRPr="001B0226" w:rsidRDefault="006F2595" w:rsidP="001B0226">
      <w:pPr>
        <w:pStyle w:val="ListParagraph"/>
        <w:numPr>
          <w:ilvl w:val="0"/>
          <w:numId w:val="46"/>
        </w:numPr>
        <w:rPr>
          <w:rFonts w:eastAsia="MS Mincho" w:cs="Arial"/>
          <w:i/>
          <w:lang w:val="en-US" w:eastAsia="ja-JP"/>
        </w:rPr>
      </w:pPr>
      <w:r>
        <w:rPr>
          <w:rFonts w:eastAsia="MS Mincho" w:cs="Arial"/>
          <w:i/>
          <w:lang w:val="en-US" w:eastAsia="ja-JP"/>
        </w:rPr>
        <w:t>“</w:t>
      </w:r>
      <w:r w:rsidRPr="001B0226">
        <w:rPr>
          <w:rFonts w:eastAsia="MS Mincho" w:cs="Arial" w:hint="eastAsia"/>
          <w:i/>
          <w:lang w:val="en-US" w:eastAsia="ja-JP"/>
        </w:rPr>
        <w:t>RAN1 asks RAN4 to study transient period (</w:t>
      </w:r>
      <w:r w:rsidRPr="001B0226">
        <w:rPr>
          <w:rFonts w:eastAsia="MS Mincho" w:cs="Arial"/>
          <w:i/>
          <w:lang w:val="en-US" w:eastAsia="ja-JP"/>
        </w:rPr>
        <w:t>including feasible values especially the one(s) smaller than that of LTE</w:t>
      </w:r>
      <w:r w:rsidRPr="001B0226">
        <w:rPr>
          <w:rFonts w:eastAsia="MS Mincho" w:cs="Arial" w:hint="eastAsia"/>
          <w:i/>
          <w:lang w:val="en-US" w:eastAsia="ja-JP"/>
        </w:rPr>
        <w:t>)</w:t>
      </w:r>
      <w:r w:rsidRPr="001B0226">
        <w:rPr>
          <w:rFonts w:eastAsia="MS Mincho" w:cs="Arial"/>
          <w:i/>
          <w:lang w:val="en-US" w:eastAsia="ja-JP"/>
        </w:rPr>
        <w:t xml:space="preserve"> considering uplink transmission in the short-duration.</w:t>
      </w:r>
    </w:p>
    <w:p w:rsidR="006F2595" w:rsidRPr="001B0226" w:rsidRDefault="006F2595" w:rsidP="001B0226">
      <w:pPr>
        <w:pStyle w:val="ListParagraph"/>
        <w:numPr>
          <w:ilvl w:val="0"/>
          <w:numId w:val="46"/>
        </w:numPr>
        <w:rPr>
          <w:rFonts w:eastAsia="MS Mincho" w:cs="Arial"/>
          <w:i/>
          <w:lang w:val="en-US" w:eastAsia="ja-JP"/>
        </w:rPr>
      </w:pPr>
      <w:r w:rsidRPr="001B0226">
        <w:rPr>
          <w:rFonts w:eastAsia="MS Mincho" w:cs="Arial"/>
          <w:i/>
          <w:lang w:val="en-US" w:eastAsia="ja-JP"/>
        </w:rPr>
        <w:t>RAN1 also asks RAN4 whether or not the transient period(s) relates to transmission characteristics e.g., bandwidth and frequency location in a bandwidth, PSD, frequency-hopping during the transmission, carrier frequency.</w:t>
      </w:r>
      <w:r>
        <w:rPr>
          <w:rFonts w:eastAsia="MS Mincho" w:cs="Arial"/>
          <w:i/>
          <w:lang w:val="en-US" w:eastAsia="ja-JP"/>
        </w:rPr>
        <w:t>”</w:t>
      </w:r>
    </w:p>
    <w:p w:rsidR="006F2595" w:rsidRPr="006F2595" w:rsidRDefault="006F2595" w:rsidP="001B0226">
      <w:pPr>
        <w:rPr>
          <w:lang w:val="en-US"/>
        </w:rPr>
      </w:pPr>
      <w:r>
        <w:rPr>
          <w:lang w:val="en-US"/>
        </w:rPr>
        <w:t>In this contribution, we discuss the transient time issue which is aimed at forming the RAN4 response to RAN1 on the first question.</w:t>
      </w:r>
      <w:r w:rsidR="00F9523B">
        <w:rPr>
          <w:lang w:val="en-US"/>
        </w:rPr>
        <w:t xml:space="preserve"> </w:t>
      </w:r>
    </w:p>
    <w:p w:rsidR="00A94494" w:rsidRPr="006F2595" w:rsidRDefault="00050525" w:rsidP="001B0226">
      <w:pPr>
        <w:pStyle w:val="Heading1"/>
        <w:numPr>
          <w:ilvl w:val="0"/>
          <w:numId w:val="45"/>
        </w:numPr>
        <w:rPr>
          <w:lang w:val="en-US"/>
        </w:rPr>
      </w:pPr>
      <w:r w:rsidRPr="006F2595">
        <w:rPr>
          <w:lang w:val="en-US"/>
        </w:rPr>
        <w:t>UE transient period for NR</w:t>
      </w:r>
    </w:p>
    <w:p w:rsidR="00A660C9" w:rsidRDefault="00D437D0" w:rsidP="00A94494">
      <w:pPr>
        <w:rPr>
          <w:lang w:val="en-US"/>
        </w:rPr>
      </w:pPr>
      <w:r>
        <w:rPr>
          <w:lang w:val="en-US"/>
        </w:rPr>
        <w:t xml:space="preserve">For LTE, the requirement related UE transient </w:t>
      </w:r>
      <w:r w:rsidR="0033443C">
        <w:rPr>
          <w:lang w:val="en-US"/>
        </w:rPr>
        <w:t>period</w:t>
      </w:r>
      <w:r>
        <w:rPr>
          <w:lang w:val="en-US"/>
        </w:rPr>
        <w:t xml:space="preserve"> is specified as 20us</w:t>
      </w:r>
      <w:r w:rsidR="0033443C">
        <w:rPr>
          <w:lang w:val="en-US"/>
        </w:rPr>
        <w:t xml:space="preserve"> as an exception to the power control and EVM requirements (part of the transient period is for PA ramping)</w:t>
      </w:r>
      <w:r>
        <w:rPr>
          <w:lang w:val="en-US"/>
        </w:rPr>
        <w:t xml:space="preserve"> </w:t>
      </w:r>
    </w:p>
    <w:p w:rsidR="00A660C9" w:rsidRDefault="00A660C9" w:rsidP="00A94494">
      <w:pPr>
        <w:rPr>
          <w:lang w:val="en-US"/>
        </w:rPr>
      </w:pPr>
      <w:r>
        <w:rPr>
          <w:lang w:val="en-US"/>
        </w:rPr>
        <w:t>In case of NR, different numerologies can be used. There is possibility to use up to 240KHz subcarrier spacing. The resulting timeframe will be as described in the table below.</w:t>
      </w:r>
    </w:p>
    <w:p w:rsidR="00A660C9" w:rsidRDefault="00A660C9" w:rsidP="00A94494">
      <w:pPr>
        <w:rPr>
          <w:lang w:val="en-US"/>
        </w:rPr>
      </w:pPr>
    </w:p>
    <w:tbl>
      <w:tblP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95"/>
        <w:gridCol w:w="1425"/>
        <w:gridCol w:w="1505"/>
        <w:gridCol w:w="1491"/>
        <w:gridCol w:w="1226"/>
        <w:gridCol w:w="1226"/>
      </w:tblGrid>
      <w:tr w:rsidR="00F50727" w:rsidRPr="00A660C9" w:rsidTr="00F50727">
        <w:trPr>
          <w:trHeight w:val="191"/>
        </w:trPr>
        <w:tc>
          <w:tcPr>
            <w:tcW w:w="1495" w:type="dxa"/>
            <w:shd w:val="clear" w:color="auto" w:fill="DAE7CC"/>
            <w:tcMar>
              <w:top w:w="72" w:type="dxa"/>
              <w:left w:w="144" w:type="dxa"/>
              <w:bottom w:w="72" w:type="dxa"/>
              <w:right w:w="144" w:type="dxa"/>
            </w:tcMar>
            <w:vAlign w:val="center"/>
            <w:hideMark/>
          </w:tcPr>
          <w:p w:rsidR="00F50727" w:rsidRPr="00A660C9" w:rsidRDefault="00F50727" w:rsidP="00A660C9">
            <w:pPr>
              <w:rPr>
                <w:lang w:val="sv-SE"/>
              </w:rPr>
            </w:pPr>
            <w:r w:rsidRPr="00A660C9">
              <w:rPr>
                <w:lang w:val="en-US"/>
              </w:rPr>
              <w:t>Subcarrier spacing</w:t>
            </w:r>
          </w:p>
        </w:tc>
        <w:tc>
          <w:tcPr>
            <w:tcW w:w="1425" w:type="dxa"/>
            <w:shd w:val="clear" w:color="auto" w:fill="DAE7CC"/>
            <w:tcMar>
              <w:top w:w="72" w:type="dxa"/>
              <w:left w:w="144" w:type="dxa"/>
              <w:bottom w:w="72" w:type="dxa"/>
              <w:right w:w="144" w:type="dxa"/>
            </w:tcMar>
            <w:vAlign w:val="center"/>
            <w:hideMark/>
          </w:tcPr>
          <w:p w:rsidR="00F50727" w:rsidRPr="00A660C9" w:rsidRDefault="00F50727" w:rsidP="003A2B70">
            <w:pPr>
              <w:jc w:val="center"/>
              <w:rPr>
                <w:lang w:val="sv-SE"/>
              </w:rPr>
            </w:pPr>
            <w:r w:rsidRPr="00A660C9">
              <w:rPr>
                <w:lang w:val="en-US"/>
              </w:rPr>
              <w:t>15 kHz</w:t>
            </w:r>
          </w:p>
        </w:tc>
        <w:tc>
          <w:tcPr>
            <w:tcW w:w="1505" w:type="dxa"/>
            <w:shd w:val="clear" w:color="auto" w:fill="DAE7CC"/>
            <w:tcMar>
              <w:top w:w="72" w:type="dxa"/>
              <w:left w:w="144" w:type="dxa"/>
              <w:bottom w:w="72" w:type="dxa"/>
              <w:right w:w="144" w:type="dxa"/>
            </w:tcMar>
            <w:vAlign w:val="center"/>
            <w:hideMark/>
          </w:tcPr>
          <w:p w:rsidR="00F50727" w:rsidRPr="00A660C9" w:rsidRDefault="00F50727" w:rsidP="003A2B70">
            <w:pPr>
              <w:jc w:val="center"/>
              <w:rPr>
                <w:lang w:val="sv-SE"/>
              </w:rPr>
            </w:pPr>
            <w:r w:rsidRPr="00A660C9">
              <w:rPr>
                <w:lang w:val="sv-SE"/>
              </w:rPr>
              <w:t xml:space="preserve">30 kHz </w:t>
            </w:r>
            <w:r w:rsidRPr="00A660C9">
              <w:rPr>
                <w:lang w:val="sv-SE"/>
              </w:rPr>
              <w:br/>
              <w:t>(2x15 kHz)</w:t>
            </w:r>
          </w:p>
        </w:tc>
        <w:tc>
          <w:tcPr>
            <w:tcW w:w="1491" w:type="dxa"/>
            <w:shd w:val="clear" w:color="auto" w:fill="DAE7CC"/>
            <w:tcMar>
              <w:top w:w="72" w:type="dxa"/>
              <w:left w:w="144" w:type="dxa"/>
              <w:bottom w:w="72" w:type="dxa"/>
              <w:right w:w="144" w:type="dxa"/>
            </w:tcMar>
            <w:vAlign w:val="center"/>
            <w:hideMark/>
          </w:tcPr>
          <w:p w:rsidR="00F50727" w:rsidRPr="00A660C9" w:rsidRDefault="00F50727" w:rsidP="003A2B70">
            <w:pPr>
              <w:jc w:val="center"/>
              <w:rPr>
                <w:lang w:val="sv-SE"/>
              </w:rPr>
            </w:pPr>
            <w:r w:rsidRPr="00A660C9">
              <w:rPr>
                <w:lang w:val="en-US"/>
              </w:rPr>
              <w:t>60 kHz</w:t>
            </w:r>
            <w:r w:rsidRPr="00A660C9">
              <w:rPr>
                <w:lang w:val="en-US"/>
              </w:rPr>
              <w:br/>
            </w:r>
            <w:r w:rsidRPr="00A660C9">
              <w:rPr>
                <w:lang w:val="sv-SE"/>
              </w:rPr>
              <w:t>(4x15 kHz)</w:t>
            </w:r>
          </w:p>
        </w:tc>
        <w:tc>
          <w:tcPr>
            <w:tcW w:w="1226" w:type="dxa"/>
            <w:shd w:val="clear" w:color="auto" w:fill="DAE7CC"/>
            <w:vAlign w:val="center"/>
          </w:tcPr>
          <w:p w:rsidR="00F50727" w:rsidRPr="00A660C9" w:rsidRDefault="00F50727" w:rsidP="003A2B70">
            <w:pPr>
              <w:jc w:val="center"/>
              <w:rPr>
                <w:lang w:val="en-US"/>
              </w:rPr>
            </w:pPr>
            <w:r>
              <w:rPr>
                <w:lang w:val="en-US"/>
              </w:rPr>
              <w:t>12</w:t>
            </w:r>
            <w:r w:rsidRPr="00A660C9">
              <w:rPr>
                <w:lang w:val="en-US"/>
              </w:rPr>
              <w:t>0 kHz</w:t>
            </w:r>
            <w:r w:rsidRPr="00A660C9">
              <w:rPr>
                <w:lang w:val="en-US"/>
              </w:rPr>
              <w:br/>
            </w:r>
            <w:r>
              <w:rPr>
                <w:lang w:val="sv-SE"/>
              </w:rPr>
              <w:t>(8</w:t>
            </w:r>
            <w:r w:rsidRPr="00A660C9">
              <w:rPr>
                <w:lang w:val="sv-SE"/>
              </w:rPr>
              <w:t>x15 kHz)</w:t>
            </w:r>
          </w:p>
        </w:tc>
        <w:tc>
          <w:tcPr>
            <w:tcW w:w="1226" w:type="dxa"/>
            <w:shd w:val="clear" w:color="auto" w:fill="DAE7CC"/>
            <w:vAlign w:val="center"/>
          </w:tcPr>
          <w:p w:rsidR="00F50727" w:rsidRPr="00A660C9" w:rsidRDefault="00F50727" w:rsidP="003A2B70">
            <w:pPr>
              <w:jc w:val="center"/>
              <w:rPr>
                <w:lang w:val="en-US"/>
              </w:rPr>
            </w:pPr>
            <w:r>
              <w:rPr>
                <w:lang w:val="en-US"/>
              </w:rPr>
              <w:t>24</w:t>
            </w:r>
            <w:r w:rsidRPr="00A660C9">
              <w:rPr>
                <w:lang w:val="en-US"/>
              </w:rPr>
              <w:t>0 kHz</w:t>
            </w:r>
            <w:r w:rsidRPr="00A660C9">
              <w:rPr>
                <w:lang w:val="en-US"/>
              </w:rPr>
              <w:br/>
            </w:r>
            <w:r>
              <w:rPr>
                <w:lang w:val="sv-SE"/>
              </w:rPr>
              <w:t>(16</w:t>
            </w:r>
            <w:r w:rsidRPr="00A660C9">
              <w:rPr>
                <w:lang w:val="sv-SE"/>
              </w:rPr>
              <w:t>x15 kHz)</w:t>
            </w:r>
          </w:p>
        </w:tc>
      </w:tr>
      <w:tr w:rsidR="00F50727" w:rsidRPr="00A660C9" w:rsidTr="00F50727">
        <w:trPr>
          <w:trHeight w:val="18"/>
        </w:trPr>
        <w:tc>
          <w:tcPr>
            <w:tcW w:w="1495" w:type="dxa"/>
            <w:shd w:val="clear" w:color="auto" w:fill="EDF3E7"/>
            <w:tcMar>
              <w:top w:w="72" w:type="dxa"/>
              <w:left w:w="144" w:type="dxa"/>
              <w:bottom w:w="72" w:type="dxa"/>
              <w:right w:w="144" w:type="dxa"/>
            </w:tcMar>
            <w:hideMark/>
          </w:tcPr>
          <w:p w:rsidR="00F50727" w:rsidRPr="00A660C9" w:rsidRDefault="00F50727" w:rsidP="00A660C9">
            <w:pPr>
              <w:rPr>
                <w:lang w:val="sv-SE"/>
              </w:rPr>
            </w:pPr>
            <w:r>
              <w:rPr>
                <w:lang w:val="en-US"/>
              </w:rPr>
              <w:t>Example s</w:t>
            </w:r>
            <w:r w:rsidRPr="00A660C9">
              <w:rPr>
                <w:lang w:val="en-US"/>
              </w:rPr>
              <w:t>lot duration</w:t>
            </w:r>
          </w:p>
        </w:tc>
        <w:tc>
          <w:tcPr>
            <w:tcW w:w="1425" w:type="dxa"/>
            <w:shd w:val="clear" w:color="auto" w:fill="EDF3E7"/>
            <w:tcMar>
              <w:top w:w="72" w:type="dxa"/>
              <w:left w:w="144" w:type="dxa"/>
              <w:bottom w:w="72" w:type="dxa"/>
              <w:right w:w="144" w:type="dxa"/>
            </w:tcMar>
            <w:hideMark/>
          </w:tcPr>
          <w:p w:rsidR="00F50727" w:rsidRPr="00A660C9" w:rsidRDefault="00F50727" w:rsidP="003A2B70">
            <w:pPr>
              <w:jc w:val="center"/>
              <w:rPr>
                <w:lang w:val="sv-SE"/>
              </w:rPr>
            </w:pPr>
            <w:r w:rsidRPr="00A660C9">
              <w:rPr>
                <w:lang w:val="en-US"/>
              </w:rPr>
              <w:t>500 µs</w:t>
            </w:r>
          </w:p>
        </w:tc>
        <w:tc>
          <w:tcPr>
            <w:tcW w:w="1505" w:type="dxa"/>
            <w:shd w:val="clear" w:color="auto" w:fill="EDF3E7"/>
            <w:tcMar>
              <w:top w:w="72" w:type="dxa"/>
              <w:left w:w="144" w:type="dxa"/>
              <w:bottom w:w="72" w:type="dxa"/>
              <w:right w:w="144" w:type="dxa"/>
            </w:tcMar>
            <w:hideMark/>
          </w:tcPr>
          <w:p w:rsidR="00F50727" w:rsidRPr="00A660C9" w:rsidRDefault="00F50727" w:rsidP="003A2B70">
            <w:pPr>
              <w:jc w:val="center"/>
              <w:rPr>
                <w:lang w:val="sv-SE"/>
              </w:rPr>
            </w:pPr>
            <w:r w:rsidRPr="00A660C9">
              <w:rPr>
                <w:lang w:val="en-US"/>
              </w:rPr>
              <w:t>250 µs</w:t>
            </w:r>
          </w:p>
        </w:tc>
        <w:tc>
          <w:tcPr>
            <w:tcW w:w="1491" w:type="dxa"/>
            <w:shd w:val="clear" w:color="auto" w:fill="EDF3E7"/>
            <w:tcMar>
              <w:top w:w="72" w:type="dxa"/>
              <w:left w:w="144" w:type="dxa"/>
              <w:bottom w:w="72" w:type="dxa"/>
              <w:right w:w="144" w:type="dxa"/>
            </w:tcMar>
            <w:hideMark/>
          </w:tcPr>
          <w:p w:rsidR="00F50727" w:rsidRPr="00A660C9" w:rsidRDefault="00F50727" w:rsidP="003A2B70">
            <w:pPr>
              <w:jc w:val="center"/>
              <w:rPr>
                <w:lang w:val="sv-SE"/>
              </w:rPr>
            </w:pPr>
            <w:r w:rsidRPr="00A660C9">
              <w:rPr>
                <w:lang w:val="en-US"/>
              </w:rPr>
              <w:t>125 µs</w:t>
            </w:r>
          </w:p>
        </w:tc>
        <w:tc>
          <w:tcPr>
            <w:tcW w:w="1226" w:type="dxa"/>
            <w:shd w:val="clear" w:color="auto" w:fill="EDF3E7"/>
          </w:tcPr>
          <w:p w:rsidR="00F50727" w:rsidRPr="00A660C9" w:rsidRDefault="00F50727" w:rsidP="003A2B70">
            <w:pPr>
              <w:jc w:val="center"/>
              <w:rPr>
                <w:lang w:val="en-US"/>
              </w:rPr>
            </w:pPr>
            <w:r>
              <w:rPr>
                <w:lang w:val="en-US"/>
              </w:rPr>
              <w:t>77.5</w:t>
            </w:r>
            <w:r w:rsidRPr="00A660C9">
              <w:rPr>
                <w:lang w:val="en-US"/>
              </w:rPr>
              <w:t xml:space="preserve"> µs</w:t>
            </w:r>
          </w:p>
        </w:tc>
        <w:tc>
          <w:tcPr>
            <w:tcW w:w="1226" w:type="dxa"/>
            <w:shd w:val="clear" w:color="auto" w:fill="EDF3E7"/>
          </w:tcPr>
          <w:p w:rsidR="00F50727" w:rsidRPr="00A660C9" w:rsidRDefault="00F50727" w:rsidP="003A2B70">
            <w:pPr>
              <w:jc w:val="center"/>
              <w:rPr>
                <w:lang w:val="en-US"/>
              </w:rPr>
            </w:pPr>
            <w:r>
              <w:rPr>
                <w:lang w:val="en-US"/>
              </w:rPr>
              <w:t>38.75</w:t>
            </w:r>
            <w:r w:rsidRPr="00A660C9">
              <w:rPr>
                <w:lang w:val="en-US"/>
              </w:rPr>
              <w:t xml:space="preserve"> µs</w:t>
            </w:r>
          </w:p>
        </w:tc>
      </w:tr>
      <w:tr w:rsidR="00F50727" w:rsidRPr="00A660C9" w:rsidTr="00F50727">
        <w:trPr>
          <w:trHeight w:val="79"/>
        </w:trPr>
        <w:tc>
          <w:tcPr>
            <w:tcW w:w="1495" w:type="dxa"/>
            <w:shd w:val="clear" w:color="auto" w:fill="EDF3E7"/>
            <w:tcMar>
              <w:top w:w="72" w:type="dxa"/>
              <w:left w:w="144" w:type="dxa"/>
              <w:bottom w:w="72" w:type="dxa"/>
              <w:right w:w="144" w:type="dxa"/>
            </w:tcMar>
            <w:hideMark/>
          </w:tcPr>
          <w:p w:rsidR="00F50727" w:rsidRPr="00A660C9" w:rsidRDefault="00F50727" w:rsidP="00A660C9">
            <w:r w:rsidRPr="00A660C9">
              <w:rPr>
                <w:lang w:val="en-US"/>
              </w:rPr>
              <w:t>OFDM symbol, duration</w:t>
            </w:r>
          </w:p>
        </w:tc>
        <w:tc>
          <w:tcPr>
            <w:tcW w:w="1425" w:type="dxa"/>
            <w:shd w:val="clear" w:color="auto" w:fill="EDF3E7"/>
            <w:tcMar>
              <w:top w:w="72" w:type="dxa"/>
              <w:left w:w="144" w:type="dxa"/>
              <w:bottom w:w="72" w:type="dxa"/>
              <w:right w:w="144" w:type="dxa"/>
            </w:tcMar>
            <w:hideMark/>
          </w:tcPr>
          <w:p w:rsidR="00F50727" w:rsidRPr="00A660C9" w:rsidRDefault="00F50727" w:rsidP="003A2B70">
            <w:pPr>
              <w:jc w:val="center"/>
            </w:pPr>
            <w:r w:rsidRPr="00A660C9">
              <w:rPr>
                <w:lang w:val="en-US"/>
              </w:rPr>
              <w:t>66.67 µs</w:t>
            </w:r>
          </w:p>
        </w:tc>
        <w:tc>
          <w:tcPr>
            <w:tcW w:w="1505" w:type="dxa"/>
            <w:shd w:val="clear" w:color="auto" w:fill="EDF3E7"/>
            <w:tcMar>
              <w:top w:w="72" w:type="dxa"/>
              <w:left w:w="144" w:type="dxa"/>
              <w:bottom w:w="72" w:type="dxa"/>
              <w:right w:w="144" w:type="dxa"/>
            </w:tcMar>
            <w:hideMark/>
          </w:tcPr>
          <w:p w:rsidR="00F50727" w:rsidRPr="00A660C9" w:rsidRDefault="00F50727" w:rsidP="003A2B70">
            <w:pPr>
              <w:jc w:val="center"/>
            </w:pPr>
            <w:r w:rsidRPr="00A660C9">
              <w:rPr>
                <w:lang w:val="en-US"/>
              </w:rPr>
              <w:t>33.33 µs</w:t>
            </w:r>
          </w:p>
        </w:tc>
        <w:tc>
          <w:tcPr>
            <w:tcW w:w="1491" w:type="dxa"/>
            <w:shd w:val="clear" w:color="auto" w:fill="EDF3E7"/>
            <w:tcMar>
              <w:top w:w="72" w:type="dxa"/>
              <w:left w:w="144" w:type="dxa"/>
              <w:bottom w:w="72" w:type="dxa"/>
              <w:right w:w="144" w:type="dxa"/>
            </w:tcMar>
            <w:hideMark/>
          </w:tcPr>
          <w:p w:rsidR="00F50727" w:rsidRPr="00A660C9" w:rsidRDefault="00F50727" w:rsidP="003A2B70">
            <w:pPr>
              <w:jc w:val="center"/>
            </w:pPr>
            <w:r w:rsidRPr="00A660C9">
              <w:rPr>
                <w:lang w:val="en-US"/>
              </w:rPr>
              <w:t>16.67 µs</w:t>
            </w:r>
          </w:p>
        </w:tc>
        <w:tc>
          <w:tcPr>
            <w:tcW w:w="1226" w:type="dxa"/>
            <w:shd w:val="clear" w:color="auto" w:fill="EDF3E7"/>
          </w:tcPr>
          <w:p w:rsidR="00F50727" w:rsidRPr="00A660C9" w:rsidRDefault="00F50727" w:rsidP="003A2B70">
            <w:pPr>
              <w:jc w:val="center"/>
              <w:rPr>
                <w:lang w:val="en-US"/>
              </w:rPr>
            </w:pPr>
            <w:r>
              <w:rPr>
                <w:lang w:val="en-US"/>
              </w:rPr>
              <w:t>8.335</w:t>
            </w:r>
            <w:r w:rsidRPr="00A660C9">
              <w:rPr>
                <w:lang w:val="en-US"/>
              </w:rPr>
              <w:t xml:space="preserve"> µs</w:t>
            </w:r>
          </w:p>
        </w:tc>
        <w:tc>
          <w:tcPr>
            <w:tcW w:w="1226" w:type="dxa"/>
            <w:shd w:val="clear" w:color="auto" w:fill="EDF3E7"/>
          </w:tcPr>
          <w:p w:rsidR="00F50727" w:rsidRPr="00A660C9" w:rsidRDefault="00F50727" w:rsidP="003A2B70">
            <w:pPr>
              <w:jc w:val="center"/>
              <w:rPr>
                <w:lang w:val="en-US"/>
              </w:rPr>
            </w:pPr>
            <w:r>
              <w:rPr>
                <w:lang w:val="en-US"/>
              </w:rPr>
              <w:t>4.1675</w:t>
            </w:r>
            <w:r w:rsidRPr="00A660C9">
              <w:rPr>
                <w:lang w:val="en-US"/>
              </w:rPr>
              <w:t xml:space="preserve"> µs</w:t>
            </w:r>
          </w:p>
        </w:tc>
      </w:tr>
      <w:tr w:rsidR="00F50727" w:rsidRPr="00A660C9" w:rsidTr="00F50727">
        <w:trPr>
          <w:trHeight w:val="18"/>
        </w:trPr>
        <w:tc>
          <w:tcPr>
            <w:tcW w:w="1495" w:type="dxa"/>
            <w:shd w:val="clear" w:color="auto" w:fill="DAE7CC"/>
            <w:tcMar>
              <w:top w:w="72" w:type="dxa"/>
              <w:left w:w="144" w:type="dxa"/>
              <w:bottom w:w="72" w:type="dxa"/>
              <w:right w:w="144" w:type="dxa"/>
            </w:tcMar>
            <w:hideMark/>
          </w:tcPr>
          <w:p w:rsidR="00F50727" w:rsidRPr="00A660C9" w:rsidRDefault="00F50727" w:rsidP="00A660C9">
            <w:r w:rsidRPr="00A660C9">
              <w:rPr>
                <w:lang w:val="en-US"/>
              </w:rPr>
              <w:t>Cyclic prefix, duration</w:t>
            </w:r>
          </w:p>
        </w:tc>
        <w:tc>
          <w:tcPr>
            <w:tcW w:w="1425" w:type="dxa"/>
            <w:shd w:val="clear" w:color="auto" w:fill="DAE7CC"/>
            <w:tcMar>
              <w:top w:w="72" w:type="dxa"/>
              <w:left w:w="144" w:type="dxa"/>
              <w:bottom w:w="72" w:type="dxa"/>
              <w:right w:w="144" w:type="dxa"/>
            </w:tcMar>
            <w:hideMark/>
          </w:tcPr>
          <w:p w:rsidR="00F50727" w:rsidRPr="00A660C9" w:rsidRDefault="00F50727" w:rsidP="003A2B70">
            <w:pPr>
              <w:jc w:val="center"/>
            </w:pPr>
            <w:r w:rsidRPr="00A660C9">
              <w:rPr>
                <w:lang w:val="en-US"/>
              </w:rPr>
              <w:t>4.76 µs</w:t>
            </w:r>
          </w:p>
        </w:tc>
        <w:tc>
          <w:tcPr>
            <w:tcW w:w="1505" w:type="dxa"/>
            <w:shd w:val="clear" w:color="auto" w:fill="DAE7CC"/>
            <w:tcMar>
              <w:top w:w="72" w:type="dxa"/>
              <w:left w:w="144" w:type="dxa"/>
              <w:bottom w:w="72" w:type="dxa"/>
              <w:right w:w="144" w:type="dxa"/>
            </w:tcMar>
            <w:hideMark/>
          </w:tcPr>
          <w:p w:rsidR="00F50727" w:rsidRPr="00A660C9" w:rsidRDefault="00F50727" w:rsidP="003A2B70">
            <w:pPr>
              <w:jc w:val="center"/>
            </w:pPr>
            <w:r w:rsidRPr="00A660C9">
              <w:rPr>
                <w:lang w:val="en-US"/>
              </w:rPr>
              <w:t>2.38 µs</w:t>
            </w:r>
          </w:p>
        </w:tc>
        <w:tc>
          <w:tcPr>
            <w:tcW w:w="1491" w:type="dxa"/>
            <w:shd w:val="clear" w:color="auto" w:fill="DAE7CC"/>
            <w:tcMar>
              <w:top w:w="72" w:type="dxa"/>
              <w:left w:w="144" w:type="dxa"/>
              <w:bottom w:w="72" w:type="dxa"/>
              <w:right w:w="144" w:type="dxa"/>
            </w:tcMar>
            <w:hideMark/>
          </w:tcPr>
          <w:p w:rsidR="00F50727" w:rsidRPr="00A660C9" w:rsidRDefault="00F50727" w:rsidP="003A2B70">
            <w:pPr>
              <w:jc w:val="center"/>
            </w:pPr>
            <w:r w:rsidRPr="00A660C9">
              <w:rPr>
                <w:lang w:val="en-US"/>
              </w:rPr>
              <w:t>1.19 µs</w:t>
            </w:r>
          </w:p>
        </w:tc>
        <w:tc>
          <w:tcPr>
            <w:tcW w:w="1226" w:type="dxa"/>
            <w:shd w:val="clear" w:color="auto" w:fill="DAE7CC"/>
          </w:tcPr>
          <w:p w:rsidR="00F50727" w:rsidRPr="00A660C9" w:rsidRDefault="00F50727" w:rsidP="003A2B70">
            <w:pPr>
              <w:jc w:val="center"/>
              <w:rPr>
                <w:lang w:val="en-US"/>
              </w:rPr>
            </w:pPr>
            <w:r>
              <w:rPr>
                <w:lang w:val="en-US"/>
              </w:rPr>
              <w:t>0.595</w:t>
            </w:r>
            <w:r w:rsidRPr="00A660C9">
              <w:rPr>
                <w:lang w:val="en-US"/>
              </w:rPr>
              <w:t xml:space="preserve"> µs</w:t>
            </w:r>
          </w:p>
        </w:tc>
        <w:tc>
          <w:tcPr>
            <w:tcW w:w="1226" w:type="dxa"/>
            <w:shd w:val="clear" w:color="auto" w:fill="DAE7CC"/>
          </w:tcPr>
          <w:p w:rsidR="00F50727" w:rsidRPr="00A660C9" w:rsidRDefault="00F50727" w:rsidP="003A2B70">
            <w:pPr>
              <w:jc w:val="center"/>
              <w:rPr>
                <w:lang w:val="en-US"/>
              </w:rPr>
            </w:pPr>
            <w:r>
              <w:rPr>
                <w:lang w:val="en-US"/>
              </w:rPr>
              <w:t>0.2975</w:t>
            </w:r>
            <w:r w:rsidRPr="00A660C9">
              <w:rPr>
                <w:lang w:val="en-US"/>
              </w:rPr>
              <w:t xml:space="preserve"> µs</w:t>
            </w:r>
          </w:p>
        </w:tc>
      </w:tr>
      <w:tr w:rsidR="00F50727" w:rsidRPr="00A660C9" w:rsidTr="00F50727">
        <w:trPr>
          <w:trHeight w:val="18"/>
        </w:trPr>
        <w:tc>
          <w:tcPr>
            <w:tcW w:w="1495" w:type="dxa"/>
            <w:shd w:val="clear" w:color="auto" w:fill="EDF3E7"/>
            <w:tcMar>
              <w:top w:w="72" w:type="dxa"/>
              <w:left w:w="144" w:type="dxa"/>
              <w:bottom w:w="72" w:type="dxa"/>
              <w:right w:w="144" w:type="dxa"/>
            </w:tcMar>
            <w:vAlign w:val="center"/>
            <w:hideMark/>
          </w:tcPr>
          <w:p w:rsidR="00F50727" w:rsidRPr="00A660C9" w:rsidRDefault="00F50727" w:rsidP="00A660C9">
            <w:r w:rsidRPr="00A660C9">
              <w:rPr>
                <w:lang w:val="en-US"/>
              </w:rPr>
              <w:t xml:space="preserve">OFDM symbol </w:t>
            </w:r>
            <w:r w:rsidRPr="00A660C9">
              <w:rPr>
                <w:lang w:val="en-US"/>
              </w:rPr>
              <w:lastRenderedPageBreak/>
              <w:t>including cyclic prefix</w:t>
            </w:r>
          </w:p>
        </w:tc>
        <w:tc>
          <w:tcPr>
            <w:tcW w:w="1425" w:type="dxa"/>
            <w:shd w:val="clear" w:color="auto" w:fill="EDF3E7"/>
            <w:tcMar>
              <w:top w:w="72" w:type="dxa"/>
              <w:left w:w="144" w:type="dxa"/>
              <w:bottom w:w="72" w:type="dxa"/>
              <w:right w:w="144" w:type="dxa"/>
            </w:tcMar>
            <w:vAlign w:val="center"/>
            <w:hideMark/>
          </w:tcPr>
          <w:p w:rsidR="00F50727" w:rsidRPr="00A660C9" w:rsidRDefault="00F50727" w:rsidP="003A2B70">
            <w:pPr>
              <w:jc w:val="center"/>
            </w:pPr>
            <w:r w:rsidRPr="00A660C9">
              <w:rPr>
                <w:lang w:val="en-US"/>
              </w:rPr>
              <w:lastRenderedPageBreak/>
              <w:t>71.43 µs</w:t>
            </w:r>
          </w:p>
        </w:tc>
        <w:tc>
          <w:tcPr>
            <w:tcW w:w="1505" w:type="dxa"/>
            <w:shd w:val="clear" w:color="auto" w:fill="EDF3E7"/>
            <w:tcMar>
              <w:top w:w="72" w:type="dxa"/>
              <w:left w:w="144" w:type="dxa"/>
              <w:bottom w:w="72" w:type="dxa"/>
              <w:right w:w="144" w:type="dxa"/>
            </w:tcMar>
            <w:vAlign w:val="center"/>
            <w:hideMark/>
          </w:tcPr>
          <w:p w:rsidR="00F50727" w:rsidRPr="00A660C9" w:rsidRDefault="00F50727" w:rsidP="003A2B70">
            <w:pPr>
              <w:jc w:val="center"/>
            </w:pPr>
            <w:r w:rsidRPr="00A660C9">
              <w:rPr>
                <w:lang w:val="en-US"/>
              </w:rPr>
              <w:t>35.71 µs</w:t>
            </w:r>
          </w:p>
        </w:tc>
        <w:tc>
          <w:tcPr>
            <w:tcW w:w="1491" w:type="dxa"/>
            <w:shd w:val="clear" w:color="auto" w:fill="EDF3E7"/>
            <w:tcMar>
              <w:top w:w="72" w:type="dxa"/>
              <w:left w:w="144" w:type="dxa"/>
              <w:bottom w:w="72" w:type="dxa"/>
              <w:right w:w="144" w:type="dxa"/>
            </w:tcMar>
            <w:vAlign w:val="center"/>
            <w:hideMark/>
          </w:tcPr>
          <w:p w:rsidR="00F50727" w:rsidRPr="00A660C9" w:rsidRDefault="00F50727" w:rsidP="003A2B70">
            <w:pPr>
              <w:jc w:val="center"/>
            </w:pPr>
            <w:r w:rsidRPr="00A660C9">
              <w:rPr>
                <w:lang w:val="en-US"/>
              </w:rPr>
              <w:t>17.86 µs</w:t>
            </w:r>
          </w:p>
        </w:tc>
        <w:tc>
          <w:tcPr>
            <w:tcW w:w="1226" w:type="dxa"/>
            <w:shd w:val="clear" w:color="auto" w:fill="EDF3E7"/>
            <w:vAlign w:val="center"/>
          </w:tcPr>
          <w:p w:rsidR="00F50727" w:rsidRPr="00A660C9" w:rsidRDefault="00F50727" w:rsidP="003A2B70">
            <w:pPr>
              <w:jc w:val="center"/>
              <w:rPr>
                <w:lang w:val="en-US"/>
              </w:rPr>
            </w:pPr>
            <w:r>
              <w:rPr>
                <w:lang w:val="en-US"/>
              </w:rPr>
              <w:t>8.93</w:t>
            </w:r>
            <w:r w:rsidRPr="00A660C9">
              <w:rPr>
                <w:lang w:val="en-US"/>
              </w:rPr>
              <w:t xml:space="preserve"> µs</w:t>
            </w:r>
          </w:p>
        </w:tc>
        <w:tc>
          <w:tcPr>
            <w:tcW w:w="1226" w:type="dxa"/>
            <w:shd w:val="clear" w:color="auto" w:fill="EDF3E7"/>
            <w:vAlign w:val="center"/>
          </w:tcPr>
          <w:p w:rsidR="00F50727" w:rsidRPr="00A660C9" w:rsidRDefault="00F50727" w:rsidP="003A2B70">
            <w:pPr>
              <w:jc w:val="center"/>
              <w:rPr>
                <w:lang w:val="en-US"/>
              </w:rPr>
            </w:pPr>
            <w:r>
              <w:rPr>
                <w:lang w:val="en-US"/>
              </w:rPr>
              <w:t>4.465</w:t>
            </w:r>
            <w:r w:rsidRPr="00A660C9">
              <w:rPr>
                <w:lang w:val="en-US"/>
              </w:rPr>
              <w:t xml:space="preserve"> µs</w:t>
            </w:r>
          </w:p>
        </w:tc>
      </w:tr>
    </w:tbl>
    <w:p w:rsidR="00A660C9" w:rsidRDefault="00A660C9" w:rsidP="00A94494">
      <w:pPr>
        <w:rPr>
          <w:lang w:val="en-US"/>
        </w:rPr>
      </w:pPr>
    </w:p>
    <w:p w:rsidR="003A2B70" w:rsidRDefault="003A2B70" w:rsidP="00A94494">
      <w:pPr>
        <w:rPr>
          <w:lang w:val="en-US"/>
        </w:rPr>
      </w:pPr>
      <w:r>
        <w:rPr>
          <w:lang w:val="en-US"/>
        </w:rPr>
        <w:t xml:space="preserve">As it is seen in the above table, the mini-slot duration with higher sub-carrier spacing becomes very small compared to EUTRA. As an example, for 120KHz subcarrier spacing, the slot duration is 77.5us. Thus, the ON/OFF transient time in the UE should be very small, else large part of the slot transmissions will be lost. </w:t>
      </w:r>
    </w:p>
    <w:p w:rsidR="003A2B70" w:rsidRDefault="003A2B70" w:rsidP="00B02C00">
      <w:pPr>
        <w:rPr>
          <w:lang w:val="en-US"/>
        </w:rPr>
      </w:pPr>
      <w:r>
        <w:rPr>
          <w:lang w:val="en-US"/>
        </w:rPr>
        <w:t>In one of our previous contributions [2], we proposed the following</w:t>
      </w:r>
      <w:r w:rsidR="00EA50B8">
        <w:rPr>
          <w:lang w:val="en-US"/>
        </w:rPr>
        <w:t xml:space="preserve"> transient times for BS</w:t>
      </w:r>
      <w:r>
        <w:rPr>
          <w:lang w:val="en-US"/>
        </w:rPr>
        <w:t>:</w:t>
      </w:r>
    </w:p>
    <w:p w:rsidR="00EA50B8" w:rsidRDefault="00EA50B8" w:rsidP="00EA50B8">
      <w:pPr>
        <w:numPr>
          <w:ilvl w:val="0"/>
          <w:numId w:val="44"/>
        </w:numPr>
        <w:jc w:val="left"/>
        <w:rPr>
          <w:lang w:val="en-US" w:eastAsia="en-US"/>
        </w:rPr>
      </w:pPr>
      <w:r>
        <w:rPr>
          <w:lang w:val="en-US" w:eastAsia="en-US"/>
        </w:rPr>
        <w:t xml:space="preserve">≈ 6 µs </w:t>
      </w:r>
      <w:r>
        <w:rPr>
          <w:lang w:val="en-US" w:eastAsia="en-US"/>
        </w:rPr>
        <w:tab/>
        <w:t>subcarrier spacing 15 to 30 kHz.</w:t>
      </w:r>
    </w:p>
    <w:p w:rsidR="00EA50B8" w:rsidRDefault="00EA50B8" w:rsidP="00EA50B8">
      <w:pPr>
        <w:numPr>
          <w:ilvl w:val="0"/>
          <w:numId w:val="44"/>
        </w:numPr>
        <w:jc w:val="left"/>
        <w:rPr>
          <w:lang w:val="en-US" w:eastAsia="en-US"/>
        </w:rPr>
      </w:pPr>
      <w:r>
        <w:rPr>
          <w:lang w:val="en-US" w:eastAsia="en-US"/>
        </w:rPr>
        <w:t xml:space="preserve">≈ 3 µs   </w:t>
      </w:r>
      <w:r w:rsidR="00B21FF8">
        <w:rPr>
          <w:lang w:val="en-US" w:eastAsia="en-US"/>
        </w:rPr>
        <w:tab/>
      </w:r>
      <w:r>
        <w:rPr>
          <w:lang w:val="en-US" w:eastAsia="en-US"/>
        </w:rPr>
        <w:t>for subcarrier spacing 60 kHz</w:t>
      </w:r>
    </w:p>
    <w:p w:rsidR="00EA50B8" w:rsidRDefault="00EA50B8" w:rsidP="00EA50B8">
      <w:pPr>
        <w:numPr>
          <w:ilvl w:val="0"/>
          <w:numId w:val="44"/>
        </w:numPr>
        <w:jc w:val="left"/>
        <w:rPr>
          <w:lang w:val="en-US" w:eastAsia="en-US"/>
        </w:rPr>
      </w:pPr>
      <w:r>
        <w:rPr>
          <w:lang w:val="en-US" w:eastAsia="en-US"/>
        </w:rPr>
        <w:t>≈ 1 µs</w:t>
      </w:r>
      <w:r>
        <w:rPr>
          <w:lang w:val="en-US" w:eastAsia="en-US"/>
        </w:rPr>
        <w:tab/>
        <w:t>for subcarrier spacing 120 kHz</w:t>
      </w:r>
    </w:p>
    <w:p w:rsidR="00F50727" w:rsidRDefault="00B21FF8" w:rsidP="00B02C00">
      <w:pPr>
        <w:rPr>
          <w:lang w:val="en-US"/>
        </w:rPr>
      </w:pPr>
      <w:r>
        <w:rPr>
          <w:lang w:val="en-US"/>
        </w:rPr>
        <w:t xml:space="preserve">One possibility could be to adopt these values </w:t>
      </w:r>
      <w:r w:rsidR="0033443C">
        <w:rPr>
          <w:lang w:val="en-US"/>
        </w:rPr>
        <w:t xml:space="preserve">as a baseline </w:t>
      </w:r>
      <w:r>
        <w:rPr>
          <w:lang w:val="en-US"/>
        </w:rPr>
        <w:t>for the UE</w:t>
      </w:r>
      <w:r w:rsidR="0033443C">
        <w:rPr>
          <w:lang w:val="en-US"/>
        </w:rPr>
        <w:t xml:space="preserve"> requirement</w:t>
      </w:r>
      <w:r w:rsidR="00F50727">
        <w:rPr>
          <w:lang w:val="en-US"/>
        </w:rPr>
        <w:t>, if the UE is able to support such transient times</w:t>
      </w:r>
      <w:r>
        <w:rPr>
          <w:lang w:val="en-US"/>
        </w:rPr>
        <w:t>.</w:t>
      </w:r>
      <w:r w:rsidR="00F50727">
        <w:rPr>
          <w:lang w:val="en-US"/>
        </w:rPr>
        <w:t xml:space="preserve"> </w:t>
      </w:r>
      <w:r w:rsidR="00C356E0">
        <w:rPr>
          <w:lang w:val="en-US"/>
        </w:rPr>
        <w:t>Another</w:t>
      </w:r>
      <w:r w:rsidR="00C356E0">
        <w:rPr>
          <w:lang w:val="en-US"/>
        </w:rPr>
        <w:t xml:space="preserve"> </w:t>
      </w:r>
      <w:r w:rsidR="00F50727">
        <w:rPr>
          <w:lang w:val="en-US"/>
        </w:rPr>
        <w:t xml:space="preserve">possibility could </w:t>
      </w:r>
      <w:r w:rsidR="00C356E0">
        <w:rPr>
          <w:lang w:val="en-US"/>
        </w:rPr>
        <w:t xml:space="preserve">also </w:t>
      </w:r>
      <w:r w:rsidR="00F50727">
        <w:rPr>
          <w:lang w:val="en-US"/>
        </w:rPr>
        <w:t>be to add some margin to</w:t>
      </w:r>
      <w:r w:rsidR="0033443C">
        <w:rPr>
          <w:lang w:val="en-US"/>
        </w:rPr>
        <w:t xml:space="preserve"> the</w:t>
      </w:r>
      <w:r w:rsidR="00F50727">
        <w:rPr>
          <w:lang w:val="en-US"/>
        </w:rPr>
        <w:t xml:space="preserve"> expected transient time for BS, for example, 20% margin for all cases. </w:t>
      </w:r>
      <w:r w:rsidR="002C2DFC">
        <w:rPr>
          <w:lang w:val="en-US"/>
        </w:rPr>
        <w:t>If the transient period</w:t>
      </w:r>
      <w:r w:rsidR="0013266E">
        <w:rPr>
          <w:lang w:val="en-US"/>
        </w:rPr>
        <w:t xml:space="preserve">s are specified as </w:t>
      </w:r>
      <w:r w:rsidR="002C2DFC">
        <w:rPr>
          <w:lang w:val="en-US"/>
        </w:rPr>
        <w:t>exception</w:t>
      </w:r>
      <w:r w:rsidR="0013266E">
        <w:rPr>
          <w:lang w:val="en-US"/>
        </w:rPr>
        <w:t>s</w:t>
      </w:r>
      <w:r w:rsidR="002C2DFC">
        <w:rPr>
          <w:lang w:val="en-US"/>
        </w:rPr>
        <w:t xml:space="preserve"> to other core requirements such</w:t>
      </w:r>
      <w:r w:rsidR="0013266E">
        <w:rPr>
          <w:lang w:val="en-US"/>
        </w:rPr>
        <w:t xml:space="preserve"> as the EVM, the required transient durations</w:t>
      </w:r>
      <w:r w:rsidR="002C2DFC">
        <w:rPr>
          <w:lang w:val="en-US"/>
        </w:rPr>
        <w:t xml:space="preserve"> also depend on the said requirement used in the test case.</w:t>
      </w:r>
    </w:p>
    <w:p w:rsidR="001E0FD3" w:rsidRDefault="00390735" w:rsidP="00B02C00">
      <w:pPr>
        <w:rPr>
          <w:lang w:val="en-US"/>
        </w:rPr>
      </w:pPr>
      <w:r>
        <w:rPr>
          <w:lang w:val="en-US"/>
        </w:rPr>
        <w:t>With the above proposal</w:t>
      </w:r>
      <w:r w:rsidR="00F50727">
        <w:rPr>
          <w:lang w:val="en-US"/>
        </w:rPr>
        <w:t>s</w:t>
      </w:r>
      <w:r>
        <w:rPr>
          <w:lang w:val="en-US"/>
        </w:rPr>
        <w:t xml:space="preserve">, the ratio between </w:t>
      </w:r>
      <w:r w:rsidR="00F50727">
        <w:rPr>
          <w:lang w:val="en-US"/>
        </w:rPr>
        <w:t xml:space="preserve">slot duration and transient duration is shown below. </w:t>
      </w: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31"/>
        <w:gridCol w:w="907"/>
        <w:gridCol w:w="789"/>
        <w:gridCol w:w="900"/>
        <w:gridCol w:w="858"/>
        <w:gridCol w:w="861"/>
        <w:gridCol w:w="987"/>
        <w:gridCol w:w="742"/>
        <w:gridCol w:w="733"/>
        <w:gridCol w:w="827"/>
        <w:gridCol w:w="854"/>
        <w:gridCol w:w="14"/>
      </w:tblGrid>
      <w:tr w:rsidR="00A24BF2" w:rsidRPr="00A660C9" w:rsidTr="00F50727">
        <w:trPr>
          <w:gridAfter w:val="1"/>
          <w:wAfter w:w="14" w:type="dxa"/>
          <w:trHeight w:val="191"/>
        </w:trPr>
        <w:tc>
          <w:tcPr>
            <w:tcW w:w="1351" w:type="dxa"/>
            <w:shd w:val="clear" w:color="auto" w:fill="DAE7CC"/>
            <w:tcMar>
              <w:top w:w="72" w:type="dxa"/>
              <w:left w:w="144" w:type="dxa"/>
              <w:bottom w:w="72" w:type="dxa"/>
              <w:right w:w="144" w:type="dxa"/>
            </w:tcMar>
            <w:vAlign w:val="center"/>
            <w:hideMark/>
          </w:tcPr>
          <w:p w:rsidR="00F50727" w:rsidRPr="00A660C9" w:rsidRDefault="00F50727" w:rsidP="00B03958">
            <w:pPr>
              <w:rPr>
                <w:lang w:val="sv-SE"/>
              </w:rPr>
            </w:pPr>
            <w:r w:rsidRPr="00A660C9">
              <w:rPr>
                <w:lang w:val="en-US"/>
              </w:rPr>
              <w:t>Subcarrier spacing</w:t>
            </w:r>
          </w:p>
        </w:tc>
        <w:tc>
          <w:tcPr>
            <w:tcW w:w="1677" w:type="dxa"/>
            <w:gridSpan w:val="2"/>
            <w:shd w:val="clear" w:color="auto" w:fill="DAE7CC"/>
            <w:tcMar>
              <w:top w:w="72" w:type="dxa"/>
              <w:left w:w="144" w:type="dxa"/>
              <w:bottom w:w="72" w:type="dxa"/>
              <w:right w:w="144" w:type="dxa"/>
            </w:tcMar>
            <w:vAlign w:val="center"/>
            <w:hideMark/>
          </w:tcPr>
          <w:p w:rsidR="00F50727" w:rsidRPr="00A660C9" w:rsidRDefault="00F50727" w:rsidP="00B03958">
            <w:pPr>
              <w:jc w:val="center"/>
              <w:rPr>
                <w:lang w:val="sv-SE"/>
              </w:rPr>
            </w:pPr>
            <w:r w:rsidRPr="00A660C9">
              <w:rPr>
                <w:lang w:val="en-US"/>
              </w:rPr>
              <w:t>15 kHz</w:t>
            </w:r>
          </w:p>
        </w:tc>
        <w:tc>
          <w:tcPr>
            <w:tcW w:w="1770" w:type="dxa"/>
            <w:gridSpan w:val="2"/>
            <w:shd w:val="clear" w:color="auto" w:fill="DAE7CC"/>
            <w:tcMar>
              <w:top w:w="72" w:type="dxa"/>
              <w:left w:w="144" w:type="dxa"/>
              <w:bottom w:w="72" w:type="dxa"/>
              <w:right w:w="144" w:type="dxa"/>
            </w:tcMar>
            <w:vAlign w:val="center"/>
            <w:hideMark/>
          </w:tcPr>
          <w:p w:rsidR="00F50727" w:rsidRPr="00A660C9" w:rsidRDefault="00F50727" w:rsidP="00B03958">
            <w:pPr>
              <w:jc w:val="center"/>
              <w:rPr>
                <w:lang w:val="en-US"/>
              </w:rPr>
            </w:pPr>
            <w:r w:rsidRPr="00A660C9">
              <w:rPr>
                <w:lang w:val="sv-SE"/>
              </w:rPr>
              <w:t xml:space="preserve">30 kHz </w:t>
            </w:r>
            <w:r w:rsidRPr="00A660C9">
              <w:rPr>
                <w:lang w:val="sv-SE"/>
              </w:rPr>
              <w:br/>
              <w:t>(2x15 kHz)</w:t>
            </w:r>
          </w:p>
        </w:tc>
        <w:tc>
          <w:tcPr>
            <w:tcW w:w="1826" w:type="dxa"/>
            <w:gridSpan w:val="2"/>
            <w:shd w:val="clear" w:color="auto" w:fill="DAE7CC"/>
            <w:tcMar>
              <w:top w:w="72" w:type="dxa"/>
              <w:left w:w="144" w:type="dxa"/>
              <w:bottom w:w="72" w:type="dxa"/>
              <w:right w:w="144" w:type="dxa"/>
            </w:tcMar>
            <w:vAlign w:val="center"/>
            <w:hideMark/>
          </w:tcPr>
          <w:p w:rsidR="00F50727" w:rsidRDefault="00F50727" w:rsidP="00B03958">
            <w:pPr>
              <w:jc w:val="center"/>
              <w:rPr>
                <w:lang w:val="en-US"/>
              </w:rPr>
            </w:pPr>
            <w:r w:rsidRPr="00A660C9">
              <w:rPr>
                <w:lang w:val="en-US"/>
              </w:rPr>
              <w:t>60 kHz</w:t>
            </w:r>
            <w:r w:rsidRPr="00A660C9">
              <w:rPr>
                <w:lang w:val="en-US"/>
              </w:rPr>
              <w:br/>
            </w:r>
            <w:r w:rsidRPr="00A660C9">
              <w:rPr>
                <w:lang w:val="sv-SE"/>
              </w:rPr>
              <w:t>(4x15 kHz)</w:t>
            </w:r>
          </w:p>
        </w:tc>
        <w:tc>
          <w:tcPr>
            <w:tcW w:w="1458" w:type="dxa"/>
            <w:gridSpan w:val="2"/>
            <w:shd w:val="clear" w:color="auto" w:fill="DAE7CC"/>
            <w:vAlign w:val="center"/>
          </w:tcPr>
          <w:p w:rsidR="00F50727" w:rsidRDefault="00F50727" w:rsidP="00B03958">
            <w:pPr>
              <w:jc w:val="center"/>
              <w:rPr>
                <w:lang w:val="en-US"/>
              </w:rPr>
            </w:pPr>
            <w:r>
              <w:rPr>
                <w:lang w:val="en-US"/>
              </w:rPr>
              <w:t>12</w:t>
            </w:r>
            <w:r w:rsidRPr="00A660C9">
              <w:rPr>
                <w:lang w:val="en-US"/>
              </w:rPr>
              <w:t>0 kHz</w:t>
            </w:r>
            <w:r w:rsidRPr="00A660C9">
              <w:rPr>
                <w:lang w:val="en-US"/>
              </w:rPr>
              <w:br/>
            </w:r>
            <w:r>
              <w:rPr>
                <w:lang w:val="sv-SE"/>
              </w:rPr>
              <w:t>(8</w:t>
            </w:r>
            <w:r w:rsidRPr="00A660C9">
              <w:rPr>
                <w:lang w:val="sv-SE"/>
              </w:rPr>
              <w:t>x15 kHz)</w:t>
            </w:r>
          </w:p>
        </w:tc>
        <w:tc>
          <w:tcPr>
            <w:tcW w:w="1707" w:type="dxa"/>
            <w:gridSpan w:val="2"/>
            <w:shd w:val="clear" w:color="auto" w:fill="DAE7CC"/>
            <w:vAlign w:val="center"/>
          </w:tcPr>
          <w:p w:rsidR="00F50727" w:rsidRDefault="00F50727" w:rsidP="00B03958">
            <w:pPr>
              <w:jc w:val="center"/>
              <w:rPr>
                <w:lang w:val="en-US"/>
              </w:rPr>
            </w:pPr>
            <w:r>
              <w:rPr>
                <w:lang w:val="en-US"/>
              </w:rPr>
              <w:t>24</w:t>
            </w:r>
            <w:r w:rsidRPr="00A660C9">
              <w:rPr>
                <w:lang w:val="en-US"/>
              </w:rPr>
              <w:t>0 kHz</w:t>
            </w:r>
            <w:r w:rsidRPr="00A660C9">
              <w:rPr>
                <w:lang w:val="en-US"/>
              </w:rPr>
              <w:br/>
            </w:r>
            <w:r>
              <w:rPr>
                <w:lang w:val="sv-SE"/>
              </w:rPr>
              <w:t>(16</w:t>
            </w:r>
            <w:r w:rsidRPr="00A660C9">
              <w:rPr>
                <w:lang w:val="sv-SE"/>
              </w:rPr>
              <w:t>x15 kHz)</w:t>
            </w:r>
          </w:p>
        </w:tc>
      </w:tr>
      <w:tr w:rsidR="00A24BF2" w:rsidRPr="00A660C9" w:rsidTr="00F50727">
        <w:trPr>
          <w:trHeight w:val="191"/>
        </w:trPr>
        <w:tc>
          <w:tcPr>
            <w:tcW w:w="1351"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F50727" w:rsidRPr="00390735" w:rsidRDefault="00F50727" w:rsidP="00B03958">
            <w:pPr>
              <w:rPr>
                <w:lang w:val="en-US"/>
              </w:rPr>
            </w:pPr>
            <w:r>
              <w:rPr>
                <w:lang w:val="en-US"/>
              </w:rPr>
              <w:t>Transient time proposal</w:t>
            </w:r>
          </w:p>
        </w:tc>
        <w:tc>
          <w:tcPr>
            <w:tcW w:w="908"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6F2595" w:rsidRDefault="006F2595" w:rsidP="00B03958">
            <w:pPr>
              <w:jc w:val="center"/>
              <w:rPr>
                <w:lang w:val="en-US"/>
              </w:rPr>
            </w:pPr>
          </w:p>
          <w:p w:rsidR="00F50727" w:rsidRPr="00390735" w:rsidRDefault="00F50727" w:rsidP="00B03958">
            <w:pPr>
              <w:jc w:val="center"/>
              <w:rPr>
                <w:lang w:val="en-US"/>
              </w:rPr>
            </w:pPr>
            <w:r>
              <w:rPr>
                <w:lang w:val="en-US"/>
              </w:rPr>
              <w:t>6</w:t>
            </w:r>
          </w:p>
        </w:tc>
        <w:tc>
          <w:tcPr>
            <w:tcW w:w="769"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sv-SE"/>
              </w:rPr>
            </w:pPr>
            <w:r>
              <w:rPr>
                <w:lang w:val="sv-SE"/>
              </w:rPr>
              <w:t>7.2</w:t>
            </w:r>
          </w:p>
        </w:tc>
        <w:tc>
          <w:tcPr>
            <w:tcW w:w="900"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6F2595" w:rsidRDefault="006F2595" w:rsidP="00B03958">
            <w:pPr>
              <w:jc w:val="center"/>
              <w:rPr>
                <w:lang w:val="sv-SE"/>
              </w:rPr>
            </w:pPr>
          </w:p>
          <w:p w:rsidR="00F50727" w:rsidRPr="00A660C9" w:rsidRDefault="00F50727" w:rsidP="00B03958">
            <w:pPr>
              <w:jc w:val="center"/>
              <w:rPr>
                <w:lang w:val="sv-SE"/>
              </w:rPr>
            </w:pPr>
            <w:r>
              <w:rPr>
                <w:lang w:val="sv-SE"/>
              </w:rPr>
              <w:t>6</w:t>
            </w:r>
          </w:p>
        </w:tc>
        <w:tc>
          <w:tcPr>
            <w:tcW w:w="870"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en-US"/>
              </w:rPr>
            </w:pPr>
            <w:r>
              <w:rPr>
                <w:lang w:val="en-US"/>
              </w:rPr>
              <w:t>7.2</w:t>
            </w:r>
          </w:p>
        </w:tc>
        <w:tc>
          <w:tcPr>
            <w:tcW w:w="789"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6F2595" w:rsidRDefault="006F2595" w:rsidP="00B03958">
            <w:pPr>
              <w:jc w:val="center"/>
              <w:rPr>
                <w:lang w:val="en-US"/>
              </w:rPr>
            </w:pPr>
          </w:p>
          <w:p w:rsidR="00F50727" w:rsidRPr="00390735" w:rsidRDefault="00F50727" w:rsidP="00B03958">
            <w:pPr>
              <w:jc w:val="center"/>
              <w:rPr>
                <w:lang w:val="en-US"/>
              </w:rPr>
            </w:pPr>
            <w:r>
              <w:rPr>
                <w:lang w:val="en-US"/>
              </w:rPr>
              <w:t>3</w:t>
            </w:r>
          </w:p>
        </w:tc>
        <w:tc>
          <w:tcPr>
            <w:tcW w:w="1037"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en-US"/>
              </w:rPr>
            </w:pPr>
            <w:r>
              <w:rPr>
                <w:lang w:val="en-US"/>
              </w:rPr>
              <w:t>3,6</w:t>
            </w:r>
          </w:p>
        </w:tc>
        <w:tc>
          <w:tcPr>
            <w:tcW w:w="750" w:type="dxa"/>
            <w:tcBorders>
              <w:top w:val="single" w:sz="4" w:space="0" w:color="auto"/>
              <w:left w:val="single" w:sz="4" w:space="0" w:color="auto"/>
              <w:bottom w:val="single" w:sz="4" w:space="0" w:color="auto"/>
              <w:right w:val="single" w:sz="4" w:space="0" w:color="auto"/>
            </w:tcBorders>
            <w:shd w:val="clear" w:color="auto" w:fill="DAE7CC"/>
            <w:vAlign w:val="center"/>
          </w:tcPr>
          <w:p w:rsidR="006F2595" w:rsidRDefault="006F2595" w:rsidP="00B03958">
            <w:pPr>
              <w:jc w:val="center"/>
              <w:rPr>
                <w:lang w:val="en-US"/>
              </w:rPr>
            </w:pPr>
          </w:p>
          <w:p w:rsidR="00F50727" w:rsidRPr="00A660C9" w:rsidRDefault="00F50727" w:rsidP="00B03958">
            <w:pPr>
              <w:jc w:val="center"/>
              <w:rPr>
                <w:lang w:val="en-US"/>
              </w:rPr>
            </w:pPr>
            <w:r>
              <w:rPr>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en-US"/>
              </w:rPr>
            </w:pPr>
            <w:r>
              <w:rPr>
                <w:lang w:val="en-US"/>
              </w:rPr>
              <w:t>1.2</w:t>
            </w:r>
          </w:p>
        </w:tc>
        <w:tc>
          <w:tcPr>
            <w:tcW w:w="850" w:type="dxa"/>
            <w:tcBorders>
              <w:top w:val="single" w:sz="4" w:space="0" w:color="auto"/>
              <w:left w:val="single" w:sz="4" w:space="0" w:color="auto"/>
              <w:bottom w:val="single" w:sz="4" w:space="0" w:color="auto"/>
              <w:right w:val="single" w:sz="4" w:space="0" w:color="auto"/>
            </w:tcBorders>
            <w:shd w:val="clear" w:color="auto" w:fill="DAE7CC"/>
            <w:vAlign w:val="center"/>
          </w:tcPr>
          <w:p w:rsidR="006F2595" w:rsidRDefault="006F2595" w:rsidP="00B03958">
            <w:pPr>
              <w:jc w:val="center"/>
              <w:rPr>
                <w:lang w:val="en-US"/>
              </w:rPr>
            </w:pPr>
          </w:p>
          <w:p w:rsidR="00F50727" w:rsidRPr="00A660C9" w:rsidRDefault="00F50727" w:rsidP="00B03958">
            <w:pPr>
              <w:jc w:val="center"/>
              <w:rPr>
                <w:lang w:val="en-US"/>
              </w:rPr>
            </w:pPr>
            <w:r>
              <w:rPr>
                <w:lang w:val="en-US"/>
              </w:rPr>
              <w:t>1(*)</w:t>
            </w:r>
          </w:p>
        </w:tc>
        <w:tc>
          <w:tcPr>
            <w:tcW w:w="871" w:type="dxa"/>
            <w:gridSpan w:val="2"/>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en-US"/>
              </w:rPr>
            </w:pPr>
            <w:r>
              <w:rPr>
                <w:lang w:val="en-US"/>
              </w:rPr>
              <w:t>1.2</w:t>
            </w:r>
          </w:p>
        </w:tc>
      </w:tr>
      <w:tr w:rsidR="00A24BF2" w:rsidRPr="00A660C9" w:rsidTr="00F50727">
        <w:trPr>
          <w:trHeight w:val="191"/>
        </w:trPr>
        <w:tc>
          <w:tcPr>
            <w:tcW w:w="1351"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F50727" w:rsidRPr="00390735" w:rsidRDefault="00F50727" w:rsidP="00B03958">
            <w:pPr>
              <w:rPr>
                <w:lang w:val="en-US"/>
              </w:rPr>
            </w:pPr>
            <w:r>
              <w:rPr>
                <w:lang w:val="en-US"/>
              </w:rPr>
              <w:t>Ratio between slot duration and transient time</w:t>
            </w:r>
          </w:p>
        </w:tc>
        <w:tc>
          <w:tcPr>
            <w:tcW w:w="908"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A24BF2" w:rsidRDefault="00A24BF2" w:rsidP="00B03958">
            <w:pPr>
              <w:jc w:val="center"/>
              <w:rPr>
                <w:lang w:val="en-US"/>
              </w:rPr>
            </w:pPr>
          </w:p>
          <w:p w:rsidR="00A24BF2" w:rsidRDefault="00A24BF2" w:rsidP="00B03958">
            <w:pPr>
              <w:jc w:val="center"/>
              <w:rPr>
                <w:lang w:val="en-US"/>
              </w:rPr>
            </w:pPr>
          </w:p>
          <w:p w:rsidR="00F50727" w:rsidRDefault="00F50727" w:rsidP="00B03958">
            <w:pPr>
              <w:jc w:val="center"/>
              <w:rPr>
                <w:rFonts w:cs="Arial"/>
                <w:lang w:val="en-US"/>
              </w:rPr>
            </w:pPr>
            <w:r>
              <w:rPr>
                <w:lang w:val="en-US"/>
              </w:rPr>
              <w:t>12/500</w:t>
            </w:r>
          </w:p>
          <w:p w:rsidR="00A24BF2" w:rsidRPr="00390735" w:rsidRDefault="00A24BF2" w:rsidP="00B03958">
            <w:pPr>
              <w:jc w:val="center"/>
              <w:rPr>
                <w:lang w:val="en-US"/>
              </w:rPr>
            </w:pPr>
            <w:r>
              <w:rPr>
                <w:rFonts w:cs="Arial"/>
                <w:lang w:val="en-US"/>
              </w:rPr>
              <w:t>~2.4%</w:t>
            </w:r>
          </w:p>
        </w:tc>
        <w:tc>
          <w:tcPr>
            <w:tcW w:w="769"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sv-SE"/>
              </w:rPr>
            </w:pPr>
            <w:r>
              <w:rPr>
                <w:lang w:val="sv-SE"/>
              </w:rPr>
              <w:t>14.4/500</w:t>
            </w:r>
          </w:p>
          <w:p w:rsidR="00A24BF2" w:rsidRDefault="00A24BF2" w:rsidP="00B03958">
            <w:pPr>
              <w:jc w:val="center"/>
              <w:rPr>
                <w:lang w:val="sv-SE"/>
              </w:rPr>
            </w:pPr>
            <w:r>
              <w:rPr>
                <w:lang w:val="sv-SE"/>
              </w:rPr>
              <w:t>~2.88%</w:t>
            </w:r>
          </w:p>
        </w:tc>
        <w:tc>
          <w:tcPr>
            <w:tcW w:w="900"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A24BF2" w:rsidRDefault="00A24BF2" w:rsidP="00B03958">
            <w:pPr>
              <w:jc w:val="center"/>
              <w:rPr>
                <w:lang w:val="sv-SE"/>
              </w:rPr>
            </w:pPr>
          </w:p>
          <w:p w:rsidR="00A24BF2" w:rsidRDefault="00A24BF2" w:rsidP="00B03958">
            <w:pPr>
              <w:jc w:val="center"/>
              <w:rPr>
                <w:lang w:val="sv-SE"/>
              </w:rPr>
            </w:pPr>
          </w:p>
          <w:p w:rsidR="00F50727" w:rsidRDefault="00F50727" w:rsidP="00B03958">
            <w:pPr>
              <w:jc w:val="center"/>
              <w:rPr>
                <w:lang w:val="sv-SE"/>
              </w:rPr>
            </w:pPr>
            <w:r>
              <w:rPr>
                <w:lang w:val="sv-SE"/>
              </w:rPr>
              <w:t>12/</w:t>
            </w:r>
            <w:r w:rsidRPr="00390735">
              <w:rPr>
                <w:lang w:val="sv-SE"/>
              </w:rPr>
              <w:t>250</w:t>
            </w:r>
          </w:p>
          <w:p w:rsidR="00A24BF2" w:rsidRPr="00A660C9" w:rsidRDefault="00A24BF2" w:rsidP="00B03958">
            <w:pPr>
              <w:jc w:val="center"/>
              <w:rPr>
                <w:lang w:val="sv-SE"/>
              </w:rPr>
            </w:pPr>
            <w:r>
              <w:rPr>
                <w:lang w:val="sv-SE"/>
              </w:rPr>
              <w:t>~4.8%</w:t>
            </w:r>
          </w:p>
        </w:tc>
        <w:tc>
          <w:tcPr>
            <w:tcW w:w="870"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en-US"/>
              </w:rPr>
            </w:pPr>
            <w:r>
              <w:rPr>
                <w:lang w:val="en-US"/>
              </w:rPr>
              <w:t>14.4/250</w:t>
            </w:r>
          </w:p>
          <w:p w:rsidR="00A24BF2" w:rsidRDefault="00A24BF2" w:rsidP="00B03958">
            <w:pPr>
              <w:jc w:val="center"/>
              <w:rPr>
                <w:lang w:val="en-US"/>
              </w:rPr>
            </w:pPr>
            <w:r>
              <w:rPr>
                <w:lang w:val="en-US"/>
              </w:rPr>
              <w:t>~5.76%</w:t>
            </w:r>
          </w:p>
        </w:tc>
        <w:tc>
          <w:tcPr>
            <w:tcW w:w="789" w:type="dxa"/>
            <w:tcBorders>
              <w:top w:val="single" w:sz="4" w:space="0" w:color="auto"/>
              <w:left w:val="single" w:sz="4" w:space="0" w:color="auto"/>
              <w:bottom w:val="single" w:sz="4" w:space="0" w:color="auto"/>
              <w:right w:val="single" w:sz="4" w:space="0" w:color="auto"/>
            </w:tcBorders>
            <w:shd w:val="clear" w:color="auto" w:fill="DAE7CC"/>
            <w:tcMar>
              <w:top w:w="72" w:type="dxa"/>
              <w:left w:w="144" w:type="dxa"/>
              <w:bottom w:w="72" w:type="dxa"/>
              <w:right w:w="144" w:type="dxa"/>
            </w:tcMar>
            <w:vAlign w:val="center"/>
            <w:hideMark/>
          </w:tcPr>
          <w:p w:rsidR="00A24BF2" w:rsidRDefault="00A24BF2" w:rsidP="00B03958">
            <w:pPr>
              <w:jc w:val="center"/>
              <w:rPr>
                <w:lang w:val="en-US"/>
              </w:rPr>
            </w:pPr>
          </w:p>
          <w:p w:rsidR="00A24BF2" w:rsidRDefault="00A24BF2" w:rsidP="00B03958">
            <w:pPr>
              <w:jc w:val="center"/>
              <w:rPr>
                <w:lang w:val="en-US"/>
              </w:rPr>
            </w:pPr>
          </w:p>
          <w:p w:rsidR="00F50727" w:rsidRDefault="00F50727" w:rsidP="00B03958">
            <w:pPr>
              <w:jc w:val="center"/>
              <w:rPr>
                <w:lang w:val="en-US"/>
              </w:rPr>
            </w:pPr>
            <w:r>
              <w:rPr>
                <w:lang w:val="en-US"/>
              </w:rPr>
              <w:t>6/</w:t>
            </w:r>
            <w:r w:rsidRPr="00A660C9">
              <w:rPr>
                <w:lang w:val="en-US"/>
              </w:rPr>
              <w:t>125</w:t>
            </w:r>
          </w:p>
          <w:p w:rsidR="00A24BF2" w:rsidRPr="00390735" w:rsidRDefault="00A24BF2" w:rsidP="00B03958">
            <w:pPr>
              <w:jc w:val="center"/>
              <w:rPr>
                <w:lang w:val="en-US"/>
              </w:rPr>
            </w:pPr>
            <w:r>
              <w:rPr>
                <w:lang w:val="sv-SE"/>
              </w:rPr>
              <w:t>~4.8%</w:t>
            </w:r>
          </w:p>
        </w:tc>
        <w:tc>
          <w:tcPr>
            <w:tcW w:w="1037"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en-US"/>
              </w:rPr>
            </w:pPr>
            <w:r>
              <w:rPr>
                <w:lang w:val="en-US"/>
              </w:rPr>
              <w:t>7.6/125</w:t>
            </w:r>
          </w:p>
          <w:p w:rsidR="00A24BF2" w:rsidRDefault="00A24BF2" w:rsidP="00B03958">
            <w:pPr>
              <w:jc w:val="center"/>
              <w:rPr>
                <w:lang w:val="en-US"/>
              </w:rPr>
            </w:pPr>
            <w:r>
              <w:rPr>
                <w:lang w:val="en-US"/>
              </w:rPr>
              <w:t>~6.08%</w:t>
            </w:r>
          </w:p>
        </w:tc>
        <w:tc>
          <w:tcPr>
            <w:tcW w:w="750" w:type="dxa"/>
            <w:tcBorders>
              <w:top w:val="single" w:sz="4" w:space="0" w:color="auto"/>
              <w:left w:val="single" w:sz="4" w:space="0" w:color="auto"/>
              <w:bottom w:val="single" w:sz="4" w:space="0" w:color="auto"/>
              <w:right w:val="single" w:sz="4" w:space="0" w:color="auto"/>
            </w:tcBorders>
            <w:shd w:val="clear" w:color="auto" w:fill="DAE7CC"/>
            <w:vAlign w:val="center"/>
          </w:tcPr>
          <w:p w:rsidR="00A24BF2" w:rsidRDefault="00A24BF2" w:rsidP="00B03958">
            <w:pPr>
              <w:jc w:val="center"/>
              <w:rPr>
                <w:lang w:val="en-US"/>
              </w:rPr>
            </w:pPr>
          </w:p>
          <w:p w:rsidR="00A24BF2" w:rsidRDefault="00A24BF2" w:rsidP="00B03958">
            <w:pPr>
              <w:jc w:val="center"/>
              <w:rPr>
                <w:lang w:val="en-US"/>
              </w:rPr>
            </w:pPr>
          </w:p>
          <w:p w:rsidR="00F50727" w:rsidRDefault="00F50727" w:rsidP="00B03958">
            <w:pPr>
              <w:jc w:val="center"/>
              <w:rPr>
                <w:lang w:val="en-US"/>
              </w:rPr>
            </w:pPr>
            <w:r>
              <w:rPr>
                <w:lang w:val="en-US"/>
              </w:rPr>
              <w:t>2/77.5</w:t>
            </w:r>
          </w:p>
          <w:p w:rsidR="00A24BF2" w:rsidRPr="00A660C9" w:rsidRDefault="00A24BF2" w:rsidP="00B03958">
            <w:pPr>
              <w:jc w:val="center"/>
              <w:rPr>
                <w:lang w:val="en-US"/>
              </w:rPr>
            </w:pPr>
            <w:r>
              <w:rPr>
                <w:lang w:val="en-US"/>
              </w:rPr>
              <w:t>~2.58%</w:t>
            </w:r>
          </w:p>
        </w:tc>
        <w:tc>
          <w:tcPr>
            <w:tcW w:w="708" w:type="dxa"/>
            <w:tcBorders>
              <w:top w:val="single" w:sz="4" w:space="0" w:color="auto"/>
              <w:left w:val="single" w:sz="4" w:space="0" w:color="auto"/>
              <w:bottom w:val="single" w:sz="4" w:space="0" w:color="auto"/>
              <w:right w:val="single" w:sz="4" w:space="0" w:color="auto"/>
            </w:tcBorders>
            <w:shd w:val="clear" w:color="auto" w:fill="DAE7CC"/>
          </w:tcPr>
          <w:p w:rsidR="00F50727" w:rsidRDefault="00A24BF2" w:rsidP="00B03958">
            <w:pPr>
              <w:jc w:val="center"/>
              <w:rPr>
                <w:lang w:val="en-US"/>
              </w:rPr>
            </w:pPr>
            <w:r>
              <w:rPr>
                <w:lang w:val="en-US"/>
              </w:rPr>
              <w:t>2.4/77.5</w:t>
            </w:r>
          </w:p>
          <w:p w:rsidR="00A24BF2" w:rsidRDefault="00A24BF2" w:rsidP="00B03958">
            <w:pPr>
              <w:jc w:val="center"/>
              <w:rPr>
                <w:lang w:val="en-US"/>
              </w:rPr>
            </w:pPr>
            <w:r>
              <w:rPr>
                <w:lang w:val="en-US"/>
              </w:rPr>
              <w:t>~3.1%</w:t>
            </w:r>
          </w:p>
        </w:tc>
        <w:tc>
          <w:tcPr>
            <w:tcW w:w="850" w:type="dxa"/>
            <w:tcBorders>
              <w:top w:val="single" w:sz="4" w:space="0" w:color="auto"/>
              <w:left w:val="single" w:sz="4" w:space="0" w:color="auto"/>
              <w:bottom w:val="single" w:sz="4" w:space="0" w:color="auto"/>
              <w:right w:val="single" w:sz="4" w:space="0" w:color="auto"/>
            </w:tcBorders>
            <w:shd w:val="clear" w:color="auto" w:fill="DAE7CC"/>
            <w:vAlign w:val="center"/>
          </w:tcPr>
          <w:p w:rsidR="00A24BF2" w:rsidRDefault="00A24BF2" w:rsidP="00B03958">
            <w:pPr>
              <w:jc w:val="center"/>
              <w:rPr>
                <w:lang w:val="en-US"/>
              </w:rPr>
            </w:pPr>
          </w:p>
          <w:p w:rsidR="00A24BF2" w:rsidRDefault="00A24BF2" w:rsidP="00B03958">
            <w:pPr>
              <w:jc w:val="center"/>
              <w:rPr>
                <w:lang w:val="en-US"/>
              </w:rPr>
            </w:pPr>
          </w:p>
          <w:p w:rsidR="00F50727" w:rsidRDefault="00F50727" w:rsidP="00B03958">
            <w:pPr>
              <w:jc w:val="center"/>
              <w:rPr>
                <w:lang w:val="en-US"/>
              </w:rPr>
            </w:pPr>
            <w:r>
              <w:rPr>
                <w:lang w:val="en-US"/>
              </w:rPr>
              <w:t>2/38.75</w:t>
            </w:r>
          </w:p>
          <w:p w:rsidR="00A24BF2" w:rsidRPr="00A660C9" w:rsidRDefault="00A24BF2" w:rsidP="00B03958">
            <w:pPr>
              <w:jc w:val="center"/>
              <w:rPr>
                <w:lang w:val="en-US"/>
              </w:rPr>
            </w:pPr>
            <w:r>
              <w:rPr>
                <w:lang w:val="en-US"/>
              </w:rPr>
              <w:t>~5.16%</w:t>
            </w:r>
          </w:p>
        </w:tc>
        <w:tc>
          <w:tcPr>
            <w:tcW w:w="871" w:type="dxa"/>
            <w:gridSpan w:val="2"/>
            <w:tcBorders>
              <w:top w:val="single" w:sz="4" w:space="0" w:color="auto"/>
              <w:left w:val="single" w:sz="4" w:space="0" w:color="auto"/>
              <w:bottom w:val="single" w:sz="4" w:space="0" w:color="auto"/>
              <w:right w:val="single" w:sz="4" w:space="0" w:color="auto"/>
            </w:tcBorders>
            <w:shd w:val="clear" w:color="auto" w:fill="DAE7CC"/>
          </w:tcPr>
          <w:p w:rsidR="00A24BF2" w:rsidRDefault="00A24BF2" w:rsidP="00B03958">
            <w:pPr>
              <w:jc w:val="center"/>
              <w:rPr>
                <w:lang w:val="en-US"/>
              </w:rPr>
            </w:pPr>
            <w:r>
              <w:rPr>
                <w:lang w:val="en-US"/>
              </w:rPr>
              <w:t>2.4/38.75</w:t>
            </w:r>
          </w:p>
          <w:p w:rsidR="00F50727" w:rsidRDefault="00A24BF2" w:rsidP="00B03958">
            <w:pPr>
              <w:jc w:val="center"/>
              <w:rPr>
                <w:lang w:val="en-US"/>
              </w:rPr>
            </w:pPr>
            <w:r>
              <w:rPr>
                <w:lang w:val="en-US"/>
              </w:rPr>
              <w:t>~6.19%</w:t>
            </w:r>
          </w:p>
        </w:tc>
      </w:tr>
    </w:tbl>
    <w:p w:rsidR="00390735" w:rsidRDefault="00390735" w:rsidP="00B02C00">
      <w:pPr>
        <w:rPr>
          <w:lang w:val="en-US"/>
        </w:rPr>
      </w:pPr>
    </w:p>
    <w:p w:rsidR="006F2595" w:rsidRDefault="006F2595" w:rsidP="00B02C00">
      <w:pPr>
        <w:rPr>
          <w:lang w:val="en-US"/>
        </w:rPr>
      </w:pPr>
      <w:r>
        <w:rPr>
          <w:lang w:val="en-US"/>
        </w:rPr>
        <w:t xml:space="preserve">(*) The analysis in [2] does not cover this case, however, we assume that, transient time requirement could be very similar to 120KHz subcarrier case. </w:t>
      </w:r>
    </w:p>
    <w:p w:rsidR="00A24BF2" w:rsidRDefault="00A24BF2" w:rsidP="00B02C00">
      <w:pPr>
        <w:rPr>
          <w:lang w:val="en-US"/>
        </w:rPr>
      </w:pPr>
      <w:r>
        <w:rPr>
          <w:lang w:val="en-US"/>
        </w:rPr>
        <w:t xml:space="preserve">The above calculations are done assuming ramping up and down time are within the slot duration. There can be design of ON/OFF mask when the ramping up and down can be placed outside the slot duration. </w:t>
      </w:r>
    </w:p>
    <w:p w:rsidR="00C01F33" w:rsidRDefault="00C01F33" w:rsidP="00C01F33">
      <w:pPr>
        <w:pStyle w:val="Heading1"/>
        <w:rPr>
          <w:lang w:val="en-US"/>
        </w:rPr>
      </w:pPr>
      <w:r w:rsidRPr="001363CA">
        <w:rPr>
          <w:lang w:val="en-US"/>
        </w:rPr>
        <w:t>Conclusion</w:t>
      </w:r>
    </w:p>
    <w:p w:rsidR="00C356E0" w:rsidRDefault="00637F26" w:rsidP="00CF57DA">
      <w:pPr>
        <w:rPr>
          <w:sz w:val="22"/>
          <w:szCs w:val="22"/>
          <w:lang w:val="en-US"/>
        </w:rPr>
      </w:pPr>
      <w:r>
        <w:rPr>
          <w:sz w:val="22"/>
          <w:szCs w:val="22"/>
          <w:lang w:val="en-US"/>
        </w:rPr>
        <w:t xml:space="preserve">We </w:t>
      </w:r>
      <w:r w:rsidR="00C356E0">
        <w:rPr>
          <w:sz w:val="22"/>
          <w:szCs w:val="22"/>
          <w:lang w:val="en-US"/>
        </w:rPr>
        <w:t xml:space="preserve">have provided some initial transient time requirement with respect to different subcarrier spacing in this paper. The number for the UE has been derived by using the transient time proposals for BS as baseline. </w:t>
      </w:r>
    </w:p>
    <w:p w:rsidR="004A17D7" w:rsidRPr="00CF57DA" w:rsidRDefault="00C356E0" w:rsidP="00CF57DA">
      <w:pPr>
        <w:rPr>
          <w:sz w:val="22"/>
          <w:szCs w:val="22"/>
          <w:lang w:val="en-US"/>
        </w:rPr>
      </w:pPr>
      <w:r>
        <w:rPr>
          <w:sz w:val="22"/>
          <w:szCs w:val="22"/>
          <w:lang w:val="en-US"/>
        </w:rPr>
        <w:t xml:space="preserve">We understand that, more investigations are needed for finalizing transient time for NR UE. However, the proposals in this paper can be taken as a baseline for further discussions, </w:t>
      </w:r>
    </w:p>
    <w:p w:rsidR="00F507D1" w:rsidRPr="001363CA" w:rsidRDefault="00F507D1" w:rsidP="00F507D1">
      <w:pPr>
        <w:pStyle w:val="Heading1"/>
        <w:rPr>
          <w:lang w:val="en-US"/>
        </w:rPr>
      </w:pPr>
      <w:bookmarkStart w:id="1" w:name="_In-sequence_SDU_delivery"/>
      <w:bookmarkEnd w:id="1"/>
      <w:r w:rsidRPr="001363CA">
        <w:rPr>
          <w:lang w:val="en-US"/>
        </w:rPr>
        <w:t>References</w:t>
      </w:r>
    </w:p>
    <w:p w:rsidR="003A2B70" w:rsidRDefault="003A2B70" w:rsidP="003A2B70">
      <w:pPr>
        <w:rPr>
          <w:sz w:val="22"/>
          <w:szCs w:val="22"/>
          <w:lang w:val="en-US"/>
        </w:rPr>
      </w:pPr>
      <w:bookmarkStart w:id="2" w:name="_Ref476840310"/>
      <w:bookmarkStart w:id="3" w:name="_Ref477270589"/>
      <w:r>
        <w:rPr>
          <w:sz w:val="22"/>
          <w:szCs w:val="22"/>
          <w:lang w:val="en-US"/>
        </w:rPr>
        <w:t>[1]</w:t>
      </w:r>
      <w:r>
        <w:rPr>
          <w:sz w:val="22"/>
          <w:szCs w:val="22"/>
          <w:lang w:val="en-US"/>
        </w:rPr>
        <w:tab/>
      </w:r>
      <w:r w:rsidR="00B43E6D" w:rsidRPr="00B43E6D">
        <w:rPr>
          <w:sz w:val="22"/>
          <w:szCs w:val="22"/>
          <w:lang w:val="en-US"/>
        </w:rPr>
        <w:t>RP-170847</w:t>
      </w:r>
      <w:r w:rsidR="00B43E6D">
        <w:rPr>
          <w:sz w:val="22"/>
          <w:szCs w:val="22"/>
          <w:lang w:val="en-US"/>
        </w:rPr>
        <w:t xml:space="preserve">, </w:t>
      </w:r>
      <w:r w:rsidR="00B43E6D" w:rsidRPr="003A2B70">
        <w:rPr>
          <w:sz w:val="22"/>
          <w:szCs w:val="22"/>
          <w:lang w:val="en-US"/>
        </w:rPr>
        <w:t>New WID on New Radio Access Technology</w:t>
      </w:r>
      <w:bookmarkEnd w:id="2"/>
      <w:r w:rsidR="00B43E6D" w:rsidRPr="003A2B70">
        <w:rPr>
          <w:sz w:val="22"/>
          <w:szCs w:val="22"/>
          <w:lang w:val="en-US"/>
        </w:rPr>
        <w:t>, NTT DOCOMO, INC</w:t>
      </w:r>
    </w:p>
    <w:p w:rsidR="0009119F" w:rsidRDefault="003A2B70" w:rsidP="003A2B70">
      <w:pPr>
        <w:rPr>
          <w:sz w:val="22"/>
          <w:szCs w:val="22"/>
          <w:lang w:val="en-US"/>
        </w:rPr>
      </w:pPr>
      <w:r>
        <w:rPr>
          <w:sz w:val="22"/>
          <w:szCs w:val="22"/>
          <w:lang w:val="en-US"/>
        </w:rPr>
        <w:t>[2]</w:t>
      </w:r>
      <w:r>
        <w:rPr>
          <w:sz w:val="22"/>
          <w:szCs w:val="22"/>
          <w:lang w:val="en-US"/>
        </w:rPr>
        <w:tab/>
      </w:r>
      <w:bookmarkEnd w:id="3"/>
      <w:r w:rsidRPr="003A2B70">
        <w:rPr>
          <w:sz w:val="22"/>
          <w:szCs w:val="22"/>
          <w:lang w:val="en-US"/>
        </w:rPr>
        <w:t>R4-1700209</w:t>
      </w:r>
      <w:r>
        <w:rPr>
          <w:sz w:val="22"/>
          <w:szCs w:val="22"/>
          <w:lang w:val="en-US"/>
        </w:rPr>
        <w:t xml:space="preserve">, </w:t>
      </w:r>
      <w:r w:rsidRPr="003A2B70">
        <w:rPr>
          <w:sz w:val="22"/>
          <w:szCs w:val="22"/>
          <w:lang w:val="en-US"/>
        </w:rPr>
        <w:t>Guard period for NR, Ericsson.</w:t>
      </w:r>
    </w:p>
    <w:p w:rsidR="006F2595" w:rsidRDefault="006F2595" w:rsidP="003A2B70">
      <w:pPr>
        <w:rPr>
          <w:sz w:val="22"/>
          <w:szCs w:val="22"/>
          <w:lang w:val="en-US"/>
        </w:rPr>
      </w:pPr>
      <w:r>
        <w:rPr>
          <w:sz w:val="22"/>
          <w:szCs w:val="22"/>
          <w:lang w:val="en-US"/>
        </w:rPr>
        <w:t>[3]</w:t>
      </w:r>
      <w:r>
        <w:rPr>
          <w:sz w:val="22"/>
          <w:szCs w:val="22"/>
          <w:lang w:val="en-US"/>
        </w:rPr>
        <w:tab/>
        <w:t xml:space="preserve">R4-1703851, </w:t>
      </w:r>
      <w:r w:rsidRPr="006F2595">
        <w:rPr>
          <w:sz w:val="22"/>
          <w:szCs w:val="22"/>
          <w:lang w:val="en-US"/>
        </w:rPr>
        <w:t>Reply LS to RAN1 on transient period for NR</w:t>
      </w:r>
      <w:r>
        <w:rPr>
          <w:sz w:val="22"/>
          <w:szCs w:val="22"/>
          <w:lang w:val="en-US"/>
        </w:rPr>
        <w:t>, Ericsson.</w:t>
      </w:r>
    </w:p>
    <w:p w:rsidR="006F2595" w:rsidRDefault="006F2595" w:rsidP="003A2B70">
      <w:pPr>
        <w:rPr>
          <w:sz w:val="22"/>
          <w:szCs w:val="22"/>
          <w:lang w:val="en-US"/>
        </w:rPr>
      </w:pPr>
      <w:r>
        <w:rPr>
          <w:sz w:val="22"/>
          <w:szCs w:val="22"/>
          <w:lang w:val="en-US"/>
        </w:rPr>
        <w:lastRenderedPageBreak/>
        <w:t>[4]</w:t>
      </w:r>
      <w:r>
        <w:rPr>
          <w:sz w:val="22"/>
          <w:szCs w:val="22"/>
          <w:lang w:val="en-US"/>
        </w:rPr>
        <w:tab/>
      </w:r>
      <w:r w:rsidRPr="006F2595">
        <w:rPr>
          <w:sz w:val="22"/>
          <w:szCs w:val="22"/>
          <w:lang w:val="en-US"/>
        </w:rPr>
        <w:t>R1-1703782</w:t>
      </w:r>
      <w:r>
        <w:rPr>
          <w:sz w:val="22"/>
          <w:szCs w:val="22"/>
          <w:lang w:val="en-US"/>
        </w:rPr>
        <w:t xml:space="preserve">, </w:t>
      </w:r>
      <w:r w:rsidRPr="006F2595">
        <w:rPr>
          <w:sz w:val="22"/>
          <w:szCs w:val="22"/>
          <w:lang w:val="en-US"/>
        </w:rPr>
        <w:t>LS on transient period for NR</w:t>
      </w:r>
      <w:r>
        <w:rPr>
          <w:sz w:val="22"/>
          <w:szCs w:val="22"/>
          <w:lang w:val="en-US"/>
        </w:rPr>
        <w:t>.</w:t>
      </w:r>
    </w:p>
    <w:p w:rsidR="006F2595" w:rsidRPr="003A2B70" w:rsidRDefault="006F2595" w:rsidP="003A2B70">
      <w:pPr>
        <w:rPr>
          <w:sz w:val="22"/>
          <w:szCs w:val="22"/>
          <w:lang w:val="en-US"/>
        </w:rPr>
      </w:pPr>
    </w:p>
    <w:sectPr w:rsidR="006F2595" w:rsidRPr="003A2B7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3F2" w:rsidRDefault="003413F2">
      <w:r>
        <w:separator/>
      </w:r>
    </w:p>
  </w:endnote>
  <w:endnote w:type="continuationSeparator" w:id="0">
    <w:p w:rsidR="003413F2" w:rsidRDefault="0034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56E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6E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3F2" w:rsidRDefault="003413F2">
      <w:r>
        <w:separator/>
      </w:r>
    </w:p>
  </w:footnote>
  <w:footnote w:type="continuationSeparator" w:id="0">
    <w:p w:rsidR="003413F2" w:rsidRDefault="00341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8210B0"/>
    <w:multiLevelType w:val="hybridMultilevel"/>
    <w:tmpl w:val="AC4C62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B4E3539"/>
    <w:multiLevelType w:val="hybridMultilevel"/>
    <w:tmpl w:val="25CC5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4"/>
  </w:num>
  <w:num w:numId="8">
    <w:abstractNumId w:val="21"/>
  </w:num>
  <w:num w:numId="9">
    <w:abstractNumId w:val="16"/>
  </w:num>
  <w:num w:numId="10">
    <w:abstractNumId w:val="14"/>
  </w:num>
  <w:num w:numId="11">
    <w:abstractNumId w:val="15"/>
  </w:num>
  <w:num w:numId="12">
    <w:abstractNumId w:val="22"/>
  </w:num>
  <w:num w:numId="13">
    <w:abstractNumId w:val="23"/>
  </w:num>
  <w:num w:numId="14">
    <w:abstractNumId w:val="12"/>
  </w:num>
  <w:num w:numId="15">
    <w:abstractNumId w:val="18"/>
  </w:num>
  <w:num w:numId="16">
    <w:abstractNumId w:val="36"/>
  </w:num>
  <w:num w:numId="17">
    <w:abstractNumId w:val="37"/>
  </w:num>
  <w:num w:numId="18">
    <w:abstractNumId w:val="41"/>
  </w:num>
  <w:num w:numId="19">
    <w:abstractNumId w:val="35"/>
  </w:num>
  <w:num w:numId="20">
    <w:abstractNumId w:val="24"/>
  </w:num>
  <w:num w:numId="21">
    <w:abstractNumId w:val="33"/>
  </w:num>
  <w:num w:numId="22">
    <w:abstractNumId w:val="28"/>
  </w:num>
  <w:num w:numId="23">
    <w:abstractNumId w:val="11"/>
  </w:num>
  <w:num w:numId="24">
    <w:abstractNumId w:val="42"/>
  </w:num>
  <w:num w:numId="25">
    <w:abstractNumId w:val="9"/>
  </w:num>
  <w:num w:numId="26">
    <w:abstractNumId w:val="30"/>
  </w:num>
  <w:num w:numId="27">
    <w:abstractNumId w:val="25"/>
  </w:num>
  <w:num w:numId="28">
    <w:abstractNumId w:val="6"/>
  </w:num>
  <w:num w:numId="29">
    <w:abstractNumId w:val="19"/>
  </w:num>
  <w:num w:numId="30">
    <w:abstractNumId w:val="2"/>
  </w:num>
  <w:num w:numId="31">
    <w:abstractNumId w:val="1"/>
  </w:num>
  <w:num w:numId="32">
    <w:abstractNumId w:val="0"/>
  </w:num>
  <w:num w:numId="33">
    <w:abstractNumId w:val="5"/>
  </w:num>
  <w:num w:numId="34">
    <w:abstractNumId w:val="39"/>
  </w:num>
  <w:num w:numId="35">
    <w:abstractNumId w:val="31"/>
  </w:num>
  <w:num w:numId="36">
    <w:abstractNumId w:val="43"/>
  </w:num>
  <w:num w:numId="37">
    <w:abstractNumId w:val="17"/>
  </w:num>
  <w:num w:numId="38">
    <w:abstractNumId w:val="3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2"/>
  </w:num>
  <w:num w:numId="41">
    <w:abstractNumId w:val="40"/>
  </w:num>
  <w:num w:numId="42">
    <w:abstractNumId w:val="7"/>
  </w:num>
  <w:num w:numId="43">
    <w:abstractNumId w:val="8"/>
  </w:num>
  <w:num w:numId="44">
    <w:abstractNumId w:val="10"/>
  </w:num>
  <w:num w:numId="45">
    <w:abstractNumId w:val="4"/>
    <w:lvlOverride w:ilvl="0">
      <w:startOverride w:val="2"/>
    </w:lvlOverride>
  </w:num>
  <w:num w:numId="4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3804"/>
    <w:rsid w:val="000444EF"/>
    <w:rsid w:val="00050525"/>
    <w:rsid w:val="00052A07"/>
    <w:rsid w:val="000534E3"/>
    <w:rsid w:val="0005606A"/>
    <w:rsid w:val="00056FB2"/>
    <w:rsid w:val="00057117"/>
    <w:rsid w:val="0005798F"/>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5203"/>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647"/>
    <w:rsid w:val="0013266E"/>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6705"/>
    <w:rsid w:val="00173A8E"/>
    <w:rsid w:val="00173EA5"/>
    <w:rsid w:val="0018143F"/>
    <w:rsid w:val="00190AC1"/>
    <w:rsid w:val="0019341A"/>
    <w:rsid w:val="00197DF9"/>
    <w:rsid w:val="001A1987"/>
    <w:rsid w:val="001A2564"/>
    <w:rsid w:val="001A6173"/>
    <w:rsid w:val="001A6CBA"/>
    <w:rsid w:val="001B0226"/>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A3C7E"/>
    <w:rsid w:val="002B1119"/>
    <w:rsid w:val="002B24D6"/>
    <w:rsid w:val="002C08F2"/>
    <w:rsid w:val="002C2DFC"/>
    <w:rsid w:val="002C3DFC"/>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43C"/>
    <w:rsid w:val="00334579"/>
    <w:rsid w:val="00335858"/>
    <w:rsid w:val="00336BDA"/>
    <w:rsid w:val="003413F2"/>
    <w:rsid w:val="00342BD7"/>
    <w:rsid w:val="00346DB5"/>
    <w:rsid w:val="003477B1"/>
    <w:rsid w:val="00347BE6"/>
    <w:rsid w:val="00357380"/>
    <w:rsid w:val="003602D9"/>
    <w:rsid w:val="003604CE"/>
    <w:rsid w:val="00360580"/>
    <w:rsid w:val="0037009A"/>
    <w:rsid w:val="00370E47"/>
    <w:rsid w:val="00371A61"/>
    <w:rsid w:val="003742AC"/>
    <w:rsid w:val="00374A8E"/>
    <w:rsid w:val="00377CE1"/>
    <w:rsid w:val="00385BF0"/>
    <w:rsid w:val="00390735"/>
    <w:rsid w:val="003939FF"/>
    <w:rsid w:val="003A2223"/>
    <w:rsid w:val="003A2A0F"/>
    <w:rsid w:val="003A2B70"/>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18BA"/>
    <w:rsid w:val="004C210F"/>
    <w:rsid w:val="004C3898"/>
    <w:rsid w:val="004C6FF7"/>
    <w:rsid w:val="004D25D8"/>
    <w:rsid w:val="004D36B1"/>
    <w:rsid w:val="004D5851"/>
    <w:rsid w:val="004D6D66"/>
    <w:rsid w:val="004D7EBD"/>
    <w:rsid w:val="004E2680"/>
    <w:rsid w:val="004E28F9"/>
    <w:rsid w:val="004E462E"/>
    <w:rsid w:val="004E56DC"/>
    <w:rsid w:val="004E76F4"/>
    <w:rsid w:val="004F0B4E"/>
    <w:rsid w:val="004F0B6C"/>
    <w:rsid w:val="004F2078"/>
    <w:rsid w:val="004F4DA3"/>
    <w:rsid w:val="004F7993"/>
    <w:rsid w:val="00503AFB"/>
    <w:rsid w:val="00506557"/>
    <w:rsid w:val="0050677A"/>
    <w:rsid w:val="005108D8"/>
    <w:rsid w:val="005116F9"/>
    <w:rsid w:val="005153A7"/>
    <w:rsid w:val="005201D0"/>
    <w:rsid w:val="005219CF"/>
    <w:rsid w:val="005270CC"/>
    <w:rsid w:val="00532DAE"/>
    <w:rsid w:val="00534B59"/>
    <w:rsid w:val="00536759"/>
    <w:rsid w:val="00537C62"/>
    <w:rsid w:val="00546970"/>
    <w:rsid w:val="00550C36"/>
    <w:rsid w:val="00551EA1"/>
    <w:rsid w:val="005536C2"/>
    <w:rsid w:val="00554E19"/>
    <w:rsid w:val="0056121F"/>
    <w:rsid w:val="00563689"/>
    <w:rsid w:val="00572505"/>
    <w:rsid w:val="00582809"/>
    <w:rsid w:val="005835DE"/>
    <w:rsid w:val="00586232"/>
    <w:rsid w:val="00586BCD"/>
    <w:rsid w:val="00587581"/>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B704D"/>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2595"/>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28A4"/>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38F"/>
    <w:rsid w:val="00825C42"/>
    <w:rsid w:val="00825D25"/>
    <w:rsid w:val="00827D6F"/>
    <w:rsid w:val="00833714"/>
    <w:rsid w:val="008376AC"/>
    <w:rsid w:val="0084172E"/>
    <w:rsid w:val="008444E8"/>
    <w:rsid w:val="00844E80"/>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82F4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5C68"/>
    <w:rsid w:val="00916079"/>
    <w:rsid w:val="00917CE9"/>
    <w:rsid w:val="00920BF2"/>
    <w:rsid w:val="00922010"/>
    <w:rsid w:val="00926275"/>
    <w:rsid w:val="00931BD9"/>
    <w:rsid w:val="009368F3"/>
    <w:rsid w:val="00941636"/>
    <w:rsid w:val="00943742"/>
    <w:rsid w:val="00944D43"/>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5CBA"/>
    <w:rsid w:val="009B1F30"/>
    <w:rsid w:val="009B3AC2"/>
    <w:rsid w:val="009B4DF4"/>
    <w:rsid w:val="009B564E"/>
    <w:rsid w:val="009B7E87"/>
    <w:rsid w:val="009C0D4F"/>
    <w:rsid w:val="009C403E"/>
    <w:rsid w:val="009C69E7"/>
    <w:rsid w:val="009D4FF0"/>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4BF2"/>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60C9"/>
    <w:rsid w:val="00A67E6C"/>
    <w:rsid w:val="00A71B99"/>
    <w:rsid w:val="00A725C0"/>
    <w:rsid w:val="00A739D0"/>
    <w:rsid w:val="00A7401E"/>
    <w:rsid w:val="00A761D4"/>
    <w:rsid w:val="00A77EC4"/>
    <w:rsid w:val="00A86418"/>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07E9A"/>
    <w:rsid w:val="00B12A07"/>
    <w:rsid w:val="00B157F9"/>
    <w:rsid w:val="00B15A7E"/>
    <w:rsid w:val="00B20256"/>
    <w:rsid w:val="00B20D09"/>
    <w:rsid w:val="00B21FF8"/>
    <w:rsid w:val="00B22DCE"/>
    <w:rsid w:val="00B2763F"/>
    <w:rsid w:val="00B27AAC"/>
    <w:rsid w:val="00B30929"/>
    <w:rsid w:val="00B31D99"/>
    <w:rsid w:val="00B372AA"/>
    <w:rsid w:val="00B40445"/>
    <w:rsid w:val="00B41888"/>
    <w:rsid w:val="00B43E6D"/>
    <w:rsid w:val="00B45A52"/>
    <w:rsid w:val="00B46175"/>
    <w:rsid w:val="00B46E62"/>
    <w:rsid w:val="00B5330B"/>
    <w:rsid w:val="00B664C7"/>
    <w:rsid w:val="00B709C1"/>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D3E71"/>
    <w:rsid w:val="00BD48AC"/>
    <w:rsid w:val="00BD5F1A"/>
    <w:rsid w:val="00BD6434"/>
    <w:rsid w:val="00BD7D33"/>
    <w:rsid w:val="00BE1234"/>
    <w:rsid w:val="00BE1C5A"/>
    <w:rsid w:val="00BE2FA6"/>
    <w:rsid w:val="00BE333F"/>
    <w:rsid w:val="00BE7406"/>
    <w:rsid w:val="00BE7603"/>
    <w:rsid w:val="00BF213B"/>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56E0"/>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1660D"/>
    <w:rsid w:val="00D239A7"/>
    <w:rsid w:val="00D23F47"/>
    <w:rsid w:val="00D36E71"/>
    <w:rsid w:val="00D3793B"/>
    <w:rsid w:val="00D37D87"/>
    <w:rsid w:val="00D40B33"/>
    <w:rsid w:val="00D4318F"/>
    <w:rsid w:val="00D437D0"/>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50B8"/>
    <w:rsid w:val="00EA7157"/>
    <w:rsid w:val="00EA7A41"/>
    <w:rsid w:val="00EB048A"/>
    <w:rsid w:val="00EB077B"/>
    <w:rsid w:val="00EB0C85"/>
    <w:rsid w:val="00EB390A"/>
    <w:rsid w:val="00EB4EA2"/>
    <w:rsid w:val="00EB79C9"/>
    <w:rsid w:val="00EC27C6"/>
    <w:rsid w:val="00EC3CD9"/>
    <w:rsid w:val="00EC4207"/>
    <w:rsid w:val="00EC5653"/>
    <w:rsid w:val="00EC5C69"/>
    <w:rsid w:val="00EC6DA5"/>
    <w:rsid w:val="00EC71CE"/>
    <w:rsid w:val="00ED054C"/>
    <w:rsid w:val="00ED1006"/>
    <w:rsid w:val="00ED17EC"/>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27"/>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23B"/>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5F62C"/>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783622340">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8113C-C5A1-4A48-9594-4E751F6A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TotalTime>
  <Pages>3</Pages>
  <Words>708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2017-03-24T21:12:00Z</dcterms:created>
  <dcterms:modified xsi:type="dcterms:W3CDTF">2017-03-24T21:16:00Z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